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Default="007D461F" w:rsidP="007D461F">
      <w:pPr>
        <w:jc w:val="center"/>
        <w:rPr>
          <w:b/>
          <w:sz w:val="28"/>
          <w:szCs w:val="28"/>
          <w:u w:val="single"/>
        </w:rPr>
      </w:pPr>
      <w:bookmarkStart w:id="0" w:name="_GoBack"/>
      <w:bookmarkEnd w:id="0"/>
      <w:r>
        <w:rPr>
          <w:b/>
          <w:sz w:val="28"/>
          <w:u w:val="single"/>
        </w:rPr>
        <w:t>Общ регламент за групово освобождаване (Регламент № 651/2014) — работен документ</w:t>
      </w:r>
    </w:p>
    <w:p w:rsidR="0012665D" w:rsidRPr="002C323D" w:rsidRDefault="00571298" w:rsidP="000C51C2">
      <w:pPr>
        <w:jc w:val="center"/>
        <w:rPr>
          <w:lang w:val="en-GB"/>
        </w:rPr>
      </w:pPr>
      <w:r>
        <w:rPr>
          <w:b/>
          <w:sz w:val="28"/>
          <w:u w:val="single"/>
        </w:rPr>
        <w:t xml:space="preserve">Регионални помощи </w:t>
      </w:r>
    </w:p>
    <w:p w:rsidR="007D461F" w:rsidRDefault="007D461F">
      <w:r>
        <w:t xml:space="preserve">Най-напред следва да бъдат проверени общите условия за прилагането на ОРГО (12 условия/членове 1—12), а след това И условията по отношение на регионалните помощи. </w:t>
      </w:r>
    </w:p>
    <w:p w:rsidR="007D461F" w:rsidRDefault="007D461F"/>
    <w:p w:rsidR="007D461F" w:rsidRPr="00404CBC" w:rsidRDefault="007D461F" w:rsidP="007D461F">
      <w:pPr>
        <w:jc w:val="center"/>
        <w:rPr>
          <w:b/>
          <w:sz w:val="28"/>
          <w:szCs w:val="28"/>
          <w:u w:val="single"/>
        </w:rPr>
      </w:pPr>
      <w:r>
        <w:rPr>
          <w:b/>
          <w:sz w:val="28"/>
          <w:u w:val="single"/>
        </w:rPr>
        <w:t>А. Общи условия за прилагане</w:t>
      </w:r>
    </w:p>
    <w:p w:rsidR="007D461F" w:rsidRDefault="007D461F" w:rsidP="007D461F">
      <w:pPr>
        <w:ind w:left="-360" w:right="-134"/>
        <w:jc w:val="both"/>
      </w:pPr>
    </w:p>
    <w:p w:rsidR="007D461F" w:rsidRPr="00161B88" w:rsidRDefault="007D461F" w:rsidP="007D461F"/>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6"/>
        <w:gridCol w:w="6946"/>
      </w:tblGrid>
      <w:tr w:rsidR="000E10AB" w:rsidRPr="00BB2CA7" w:rsidTr="00793D63">
        <w:trPr>
          <w:trHeight w:val="145"/>
        </w:trPr>
        <w:tc>
          <w:tcPr>
            <w:tcW w:w="7666" w:type="dxa"/>
            <w:tcBorders>
              <w:bottom w:val="single" w:sz="4" w:space="0" w:color="auto"/>
            </w:tcBorders>
            <w:shd w:val="clear" w:color="auto" w:fill="333399"/>
          </w:tcPr>
          <w:p w:rsidR="000E10AB" w:rsidRPr="00BB2CA7" w:rsidRDefault="00593387" w:rsidP="00C5368A">
            <w:pPr>
              <w:tabs>
                <w:tab w:val="center" w:pos="3549"/>
              </w:tabs>
              <w:ind w:left="360"/>
              <w:rPr>
                <w:b/>
                <w:smallCaps/>
                <w:color w:val="FFFFFF"/>
                <w:sz w:val="28"/>
                <w:szCs w:val="28"/>
              </w:rPr>
            </w:pPr>
            <w:r>
              <w:tab/>
            </w:r>
            <w:r>
              <w:rPr>
                <w:b/>
                <w:smallCaps/>
                <w:color w:val="FFFFFF"/>
                <w:sz w:val="28"/>
              </w:rPr>
              <w:t>Общи условия за съвместимост</w:t>
            </w:r>
          </w:p>
        </w:tc>
        <w:tc>
          <w:tcPr>
            <w:tcW w:w="6946" w:type="dxa"/>
            <w:shd w:val="clear" w:color="auto" w:fill="333399"/>
          </w:tcPr>
          <w:p w:rsidR="000E10AB" w:rsidRPr="00BB2CA7" w:rsidRDefault="000E10AB" w:rsidP="00BB2CA7">
            <w:pPr>
              <w:jc w:val="center"/>
              <w:rPr>
                <w:b/>
                <w:smallCaps/>
                <w:color w:val="FFFFFF"/>
                <w:sz w:val="28"/>
                <w:szCs w:val="28"/>
              </w:rPr>
            </w:pPr>
            <w:r>
              <w:rPr>
                <w:b/>
                <w:smallCaps/>
                <w:color w:val="FFFFFF"/>
                <w:sz w:val="28"/>
              </w:rPr>
              <w:t>Проверка на съответствието (OK?)</w:t>
            </w:r>
          </w:p>
        </w:tc>
      </w:tr>
      <w:tr w:rsidR="000E10AB" w:rsidRPr="0017445D" w:rsidTr="00793D63">
        <w:trPr>
          <w:trHeight w:val="145"/>
        </w:trPr>
        <w:tc>
          <w:tcPr>
            <w:tcW w:w="7666" w:type="dxa"/>
            <w:shd w:val="clear" w:color="auto" w:fill="D9D9D9"/>
          </w:tcPr>
          <w:p w:rsidR="000E10AB" w:rsidRPr="009F530E" w:rsidRDefault="000E10AB" w:rsidP="00772B86">
            <w:pPr>
              <w:rPr>
                <w:b/>
                <w:sz w:val="22"/>
                <w:szCs w:val="22"/>
              </w:rPr>
            </w:pPr>
            <w:r>
              <w:rPr>
                <w:b/>
                <w:sz w:val="22"/>
              </w:rPr>
              <w:t>Член 1, параграф 2 — Изключване на някои дейности и на помощи над определена сума</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0E10AB" w:rsidP="00BB2CA7">
            <w:pPr>
              <w:jc w:val="both"/>
              <w:rPr>
                <w:sz w:val="22"/>
                <w:szCs w:val="22"/>
              </w:rPr>
            </w:pPr>
            <w:r>
              <w:rPr>
                <w:b/>
                <w:sz w:val="22"/>
                <w:u w:val="single"/>
              </w:rPr>
              <w:t>Не</w:t>
            </w:r>
            <w:r>
              <w:rPr>
                <w:b/>
                <w:sz w:val="22"/>
              </w:rPr>
              <w:t xml:space="preserve"> се прилага за</w:t>
            </w:r>
            <w:r>
              <w:rPr>
                <w:sz w:val="22"/>
              </w:rPr>
              <w:t>:</w:t>
            </w:r>
          </w:p>
          <w:p w:rsidR="000E10AB" w:rsidRPr="0093761D" w:rsidRDefault="0093761D" w:rsidP="0093761D">
            <w:pPr>
              <w:ind w:left="636" w:hanging="318"/>
              <w:jc w:val="both"/>
              <w:rPr>
                <w:color w:val="FF0000"/>
                <w:sz w:val="22"/>
                <w:szCs w:val="22"/>
              </w:rPr>
            </w:pPr>
            <w:r w:rsidRPr="002C323D">
              <w:rPr>
                <w:color w:val="FF0000"/>
                <w:sz w:val="22"/>
                <w:szCs w:val="22"/>
              </w:rPr>
              <w:t>а)</w:t>
            </w:r>
            <w:r w:rsidRPr="0093761D">
              <w:rPr>
                <w:sz w:val="22"/>
                <w:szCs w:val="22"/>
              </w:rPr>
              <w:tab/>
            </w:r>
            <w:r w:rsidR="00AB57BD" w:rsidRPr="0093761D">
              <w:rPr>
                <w:sz w:val="22"/>
                <w:szCs w:val="22"/>
              </w:rPr>
              <w:t xml:space="preserve">схеми за регионална помощ (с изключение на член 15) със среден годишен бюджет за държавната помощ, надхвърлящ 150 милиона евро, след изтичане на шест месеца от тяхното влизане в сила (настоящият регламент може да продължи да се прилага за по-дълъг период от време за всяка такава схема за помощ, след като се разгледа съответният план за оценка, изпратен от държавата членка на Комисията, в срок от 20 работни дни от влизането на схемата в сила); </w:t>
            </w:r>
          </w:p>
          <w:p w:rsidR="000E10AB" w:rsidRPr="0093761D" w:rsidRDefault="0093761D" w:rsidP="0093761D">
            <w:pPr>
              <w:ind w:left="636" w:hanging="318"/>
              <w:jc w:val="both"/>
              <w:rPr>
                <w:sz w:val="22"/>
                <w:szCs w:val="22"/>
              </w:rPr>
            </w:pPr>
            <w:r w:rsidRPr="0093761D">
              <w:rPr>
                <w:sz w:val="22"/>
                <w:szCs w:val="22"/>
              </w:rPr>
              <w:t>б)</w:t>
            </w:r>
            <w:r w:rsidRPr="0093761D">
              <w:rPr>
                <w:sz w:val="22"/>
                <w:szCs w:val="22"/>
              </w:rPr>
              <w:tab/>
            </w:r>
            <w:r w:rsidR="000E10AB" w:rsidRPr="0093761D">
              <w:rPr>
                <w:sz w:val="22"/>
                <w:szCs w:val="22"/>
              </w:rPr>
              <w:t>всички изменения на схемите, посочени по-горе, с изключение на измененията, които не могат да повлияят на съвместимостта на схемата за помощ по смисъла на настоящия регламент или които не могат съществено да повлияят на съдържанието на одобрения план за оценка;</w:t>
            </w:r>
          </w:p>
          <w:p w:rsidR="000E10AB" w:rsidRPr="0093761D" w:rsidRDefault="0093761D" w:rsidP="0093761D">
            <w:pPr>
              <w:ind w:left="636" w:hanging="318"/>
              <w:jc w:val="both"/>
              <w:rPr>
                <w:sz w:val="22"/>
                <w:szCs w:val="22"/>
              </w:rPr>
            </w:pPr>
            <w:r w:rsidRPr="0093761D">
              <w:rPr>
                <w:sz w:val="22"/>
                <w:szCs w:val="22"/>
              </w:rPr>
              <w:t>в)</w:t>
            </w:r>
            <w:r w:rsidRPr="0093761D">
              <w:rPr>
                <w:sz w:val="22"/>
                <w:szCs w:val="22"/>
              </w:rPr>
              <w:tab/>
            </w:r>
            <w:r w:rsidR="000E10AB" w:rsidRPr="0093761D">
              <w:rPr>
                <w:sz w:val="22"/>
                <w:szCs w:val="22"/>
              </w:rPr>
              <w:t xml:space="preserve">помощи за дейности, свързани с </w:t>
            </w:r>
            <w:r w:rsidR="000E10AB" w:rsidRPr="0093761D">
              <w:rPr>
                <w:b/>
                <w:sz w:val="22"/>
                <w:szCs w:val="22"/>
              </w:rPr>
              <w:t>износ</w:t>
            </w:r>
            <w:r w:rsidR="000E10AB" w:rsidRPr="0093761D">
              <w:rPr>
                <w:sz w:val="22"/>
                <w:szCs w:val="22"/>
              </w:rPr>
              <w:t xml:space="preserve">; </w:t>
            </w:r>
          </w:p>
          <w:p w:rsidR="000E10AB" w:rsidRPr="009F530E" w:rsidRDefault="0093761D" w:rsidP="0093761D">
            <w:pPr>
              <w:ind w:left="636" w:hanging="318"/>
              <w:jc w:val="both"/>
              <w:rPr>
                <w:sz w:val="22"/>
                <w:szCs w:val="22"/>
              </w:rPr>
            </w:pPr>
            <w:r w:rsidRPr="0093761D">
              <w:rPr>
                <w:sz w:val="22"/>
                <w:szCs w:val="22"/>
              </w:rPr>
              <w:t>г)</w:t>
            </w:r>
            <w:r w:rsidRPr="0093761D">
              <w:rPr>
                <w:sz w:val="22"/>
                <w:szCs w:val="22"/>
              </w:rPr>
              <w:tab/>
            </w:r>
            <w:r w:rsidR="000E10AB" w:rsidRPr="0093761D">
              <w:rPr>
                <w:sz w:val="22"/>
                <w:szCs w:val="22"/>
              </w:rPr>
              <w:t xml:space="preserve">помощи, </w:t>
            </w:r>
            <w:r w:rsidR="000E10AB" w:rsidRPr="0093761D">
              <w:rPr>
                <w:b/>
                <w:sz w:val="22"/>
                <w:szCs w:val="22"/>
              </w:rPr>
              <w:t>обвързани с условието за използване на местни</w:t>
            </w:r>
            <w:r w:rsidR="000E10AB" w:rsidRPr="0093761D">
              <w:rPr>
                <w:sz w:val="22"/>
                <w:szCs w:val="22"/>
              </w:rPr>
              <w:t xml:space="preserve"> за сметка на вносни стоки.</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6250A2">
            <w:pPr>
              <w:jc w:val="both"/>
              <w:rPr>
                <w:b/>
                <w:sz w:val="22"/>
                <w:szCs w:val="22"/>
              </w:rPr>
            </w:pPr>
            <w:r>
              <w:rPr>
                <w:b/>
                <w:sz w:val="22"/>
              </w:rPr>
              <w:t xml:space="preserve">Член 1, параграф 3 и член 13 — Изключване на някои сектори </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772B86" w:rsidRPr="00615880" w:rsidRDefault="00772B86" w:rsidP="009F530E">
            <w:pPr>
              <w:jc w:val="both"/>
              <w:rPr>
                <w:sz w:val="22"/>
                <w:szCs w:val="22"/>
              </w:rPr>
            </w:pPr>
            <w:r w:rsidRPr="00615880">
              <w:rPr>
                <w:sz w:val="22"/>
                <w:szCs w:val="22"/>
              </w:rPr>
              <w:t xml:space="preserve">Член 1, параграф 3: </w:t>
            </w:r>
            <w:r w:rsidRPr="00615880">
              <w:rPr>
                <w:b/>
                <w:sz w:val="22"/>
                <w:szCs w:val="22"/>
                <w:u w:val="single"/>
              </w:rPr>
              <w:t>Не</w:t>
            </w:r>
            <w:r w:rsidRPr="00615880">
              <w:rPr>
                <w:b/>
                <w:sz w:val="22"/>
                <w:szCs w:val="22"/>
              </w:rPr>
              <w:t xml:space="preserve"> се прилага за</w:t>
            </w:r>
            <w:r w:rsidRPr="00615880">
              <w:rPr>
                <w:sz w:val="22"/>
                <w:szCs w:val="22"/>
              </w:rPr>
              <w:t>:</w:t>
            </w:r>
          </w:p>
          <w:p w:rsidR="000E10AB" w:rsidRPr="00615880" w:rsidRDefault="000E10AB" w:rsidP="00EF2B54">
            <w:pPr>
              <w:numPr>
                <w:ilvl w:val="0"/>
                <w:numId w:val="2"/>
              </w:numPr>
              <w:tabs>
                <w:tab w:val="clear" w:pos="720"/>
                <w:tab w:val="num" w:pos="328"/>
              </w:tabs>
              <w:ind w:left="328" w:hanging="283"/>
              <w:jc w:val="both"/>
              <w:rPr>
                <w:color w:val="FF0000"/>
                <w:sz w:val="22"/>
                <w:szCs w:val="22"/>
              </w:rPr>
            </w:pPr>
            <w:r w:rsidRPr="00615880">
              <w:rPr>
                <w:sz w:val="22"/>
                <w:szCs w:val="22"/>
              </w:rPr>
              <w:t xml:space="preserve">риболова и аквакултурите* (съгласно Регламент (ЕС) № 1379/2013); </w:t>
            </w:r>
          </w:p>
          <w:p w:rsidR="000E10AB" w:rsidRPr="002C323D" w:rsidRDefault="000E10AB" w:rsidP="00EF2B54">
            <w:pPr>
              <w:numPr>
                <w:ilvl w:val="0"/>
                <w:numId w:val="2"/>
              </w:numPr>
              <w:tabs>
                <w:tab w:val="clear" w:pos="720"/>
                <w:tab w:val="num" w:pos="328"/>
              </w:tabs>
              <w:ind w:left="328" w:hanging="283"/>
              <w:rPr>
                <w:sz w:val="20"/>
                <w:szCs w:val="20"/>
              </w:rPr>
            </w:pPr>
            <w:r w:rsidRPr="00615880">
              <w:rPr>
                <w:sz w:val="22"/>
                <w:szCs w:val="22"/>
              </w:rPr>
              <w:t>първичното производство на селскостопански продукти</w:t>
            </w:r>
            <w:r w:rsidRPr="002C323D">
              <w:rPr>
                <w:sz w:val="22"/>
                <w:szCs w:val="22"/>
              </w:rPr>
              <w:t xml:space="preserve">*, </w:t>
            </w:r>
            <w:r w:rsidRPr="002C323D">
              <w:rPr>
                <w:color w:val="FF0000"/>
                <w:sz w:val="20"/>
                <w:szCs w:val="20"/>
              </w:rPr>
              <w:t xml:space="preserve">с изключение на </w:t>
            </w:r>
            <w:r w:rsidRPr="002C323D">
              <w:rPr>
                <w:color w:val="FF0000"/>
                <w:sz w:val="20"/>
                <w:szCs w:val="20"/>
              </w:rPr>
              <w:lastRenderedPageBreak/>
              <w:t>компенсацията за допълнителни разходи, които не представляват разходи за транспорт и са извършени в най-отдалечените региони (член 15, параграф 2, буква б)</w:t>
            </w:r>
            <w:r w:rsidRPr="002C323D">
              <w:rPr>
                <w:sz w:val="20"/>
                <w:szCs w:val="20"/>
              </w:rPr>
              <w:t>;</w:t>
            </w:r>
            <w:r w:rsidRPr="002C323D">
              <w:rPr>
                <w:color w:val="FF0000"/>
                <w:sz w:val="20"/>
                <w:szCs w:val="20"/>
              </w:rPr>
              <w:t xml:space="preserve"> </w:t>
            </w:r>
          </w:p>
          <w:p w:rsidR="000E10AB" w:rsidRPr="00615880" w:rsidRDefault="000E10AB" w:rsidP="00EF2B54">
            <w:pPr>
              <w:numPr>
                <w:ilvl w:val="0"/>
                <w:numId w:val="2"/>
              </w:numPr>
              <w:tabs>
                <w:tab w:val="clear" w:pos="720"/>
                <w:tab w:val="num" w:pos="328"/>
              </w:tabs>
              <w:autoSpaceDE w:val="0"/>
              <w:autoSpaceDN w:val="0"/>
              <w:adjustRightInd w:val="0"/>
              <w:ind w:left="328" w:hanging="283"/>
              <w:jc w:val="both"/>
              <w:rPr>
                <w:sz w:val="22"/>
                <w:szCs w:val="22"/>
              </w:rPr>
            </w:pPr>
            <w:r w:rsidRPr="00615880">
              <w:rPr>
                <w:sz w:val="22"/>
                <w:szCs w:val="22"/>
              </w:rPr>
              <w:t xml:space="preserve">преработката и продажбата на селскостопански продукти*, </w:t>
            </w:r>
            <w:r w:rsidRPr="002C323D">
              <w:rPr>
                <w:color w:val="FF0000"/>
                <w:sz w:val="20"/>
                <w:szCs w:val="20"/>
              </w:rPr>
              <w:t>ако размерът</w:t>
            </w:r>
            <w:r w:rsidRPr="00615880">
              <w:rPr>
                <w:sz w:val="22"/>
                <w:szCs w:val="22"/>
              </w:rPr>
              <w:t xml:space="preserve"> на помощта е определен въз основа на цената или количеството на такива продукти, закупени от първични производители или пуснати на пазара от съответните предприятия; или когато помощта е обвързана със задължението да бъде прехвърлена частично или изцяло на първичните производители;</w:t>
            </w:r>
          </w:p>
          <w:p w:rsidR="000E10AB" w:rsidRPr="00615880" w:rsidRDefault="00681921" w:rsidP="00681921">
            <w:pPr>
              <w:autoSpaceDE w:val="0"/>
              <w:autoSpaceDN w:val="0"/>
              <w:adjustRightInd w:val="0"/>
              <w:spacing w:after="40"/>
              <w:ind w:left="318" w:hanging="318"/>
              <w:jc w:val="both"/>
              <w:rPr>
                <w:sz w:val="22"/>
                <w:szCs w:val="22"/>
              </w:rPr>
            </w:pPr>
            <w:r>
              <w:rPr>
                <w:sz w:val="22"/>
                <w:szCs w:val="22"/>
              </w:rPr>
              <w:t>а)</w:t>
            </w:r>
            <w:r>
              <w:rPr>
                <w:sz w:val="22"/>
                <w:szCs w:val="22"/>
              </w:rPr>
              <w:tab/>
            </w:r>
            <w:r w:rsidR="000E10AB" w:rsidRPr="00615880">
              <w:rPr>
                <w:sz w:val="22"/>
                <w:szCs w:val="22"/>
              </w:rPr>
              <w:t>помощите за улесняване на закриването на неконкурентоспособни въглищни мини (Решение 2010/787/ЕС на Съвета).</w:t>
            </w:r>
          </w:p>
          <w:p w:rsidR="000E10AB" w:rsidRPr="00EF2B54" w:rsidRDefault="000E10AB" w:rsidP="009F52DA">
            <w:pPr>
              <w:tabs>
                <w:tab w:val="num" w:pos="328"/>
              </w:tabs>
              <w:ind w:left="328"/>
              <w:jc w:val="both"/>
              <w:rPr>
                <w:i/>
                <w:sz w:val="20"/>
                <w:szCs w:val="20"/>
              </w:rPr>
            </w:pPr>
            <w:r>
              <w:rPr>
                <w:sz w:val="20"/>
              </w:rPr>
              <w:t xml:space="preserve">* </w:t>
            </w:r>
            <w:r>
              <w:rPr>
                <w:i/>
                <w:sz w:val="20"/>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p w:rsidR="0025789A" w:rsidRPr="009F530E" w:rsidRDefault="0025789A" w:rsidP="009F52DA">
            <w:pPr>
              <w:tabs>
                <w:tab w:val="num" w:pos="328"/>
              </w:tabs>
              <w:ind w:left="328"/>
              <w:jc w:val="both"/>
              <w:rPr>
                <w:i/>
                <w:sz w:val="22"/>
                <w:szCs w:val="22"/>
              </w:rPr>
            </w:pPr>
          </w:p>
          <w:p w:rsidR="0025789A" w:rsidRPr="009F530E" w:rsidRDefault="00772B86" w:rsidP="0025789A">
            <w:pPr>
              <w:jc w:val="both"/>
              <w:rPr>
                <w:sz w:val="22"/>
                <w:szCs w:val="22"/>
              </w:rPr>
            </w:pPr>
            <w:r>
              <w:rPr>
                <w:sz w:val="22"/>
              </w:rPr>
              <w:t xml:space="preserve">Член 13: Регионалните помощи </w:t>
            </w:r>
            <w:r>
              <w:rPr>
                <w:b/>
                <w:sz w:val="22"/>
                <w:u w:val="single"/>
              </w:rPr>
              <w:t>не</w:t>
            </w:r>
            <w:r>
              <w:rPr>
                <w:sz w:val="22"/>
              </w:rPr>
              <w:t xml:space="preserve"> се прилагат по отношение на:</w:t>
            </w:r>
          </w:p>
          <w:p w:rsidR="0025789A" w:rsidRPr="009F530E" w:rsidRDefault="00681921" w:rsidP="00681921">
            <w:pPr>
              <w:autoSpaceDE w:val="0"/>
              <w:autoSpaceDN w:val="0"/>
              <w:adjustRightInd w:val="0"/>
              <w:spacing w:after="40"/>
              <w:ind w:left="318" w:hanging="318"/>
              <w:jc w:val="both"/>
              <w:rPr>
                <w:sz w:val="22"/>
                <w:szCs w:val="22"/>
              </w:rPr>
            </w:pPr>
            <w:r>
              <w:rPr>
                <w:sz w:val="22"/>
              </w:rPr>
              <w:t>а)</w:t>
            </w:r>
            <w:r>
              <w:rPr>
                <w:sz w:val="22"/>
              </w:rPr>
              <w:tab/>
            </w:r>
            <w:r w:rsidR="0025789A">
              <w:rPr>
                <w:sz w:val="22"/>
              </w:rPr>
              <w:t>стоманодобива, въгледобива, корабостроенето, производството на синтетични влакна, транспорта, както и свързаната с него инфраструктура, производството и дистрибуцията на електроенергия и енергийните инфраструктури;</w:t>
            </w:r>
          </w:p>
          <w:p w:rsidR="0025789A" w:rsidRPr="009F530E" w:rsidRDefault="00681921" w:rsidP="00681921">
            <w:pPr>
              <w:autoSpaceDE w:val="0"/>
              <w:autoSpaceDN w:val="0"/>
              <w:adjustRightInd w:val="0"/>
              <w:spacing w:after="40"/>
              <w:ind w:left="318" w:hanging="318"/>
              <w:jc w:val="both"/>
              <w:rPr>
                <w:sz w:val="22"/>
                <w:szCs w:val="22"/>
              </w:rPr>
            </w:pPr>
            <w:r>
              <w:rPr>
                <w:sz w:val="22"/>
              </w:rPr>
              <w:t>б)</w:t>
            </w:r>
            <w:r>
              <w:rPr>
                <w:sz w:val="22"/>
              </w:rPr>
              <w:tab/>
            </w:r>
            <w:r w:rsidR="0025789A">
              <w:rPr>
                <w:sz w:val="22"/>
              </w:rPr>
              <w:t>схемите, предназначени за ограничен брой конкретни стопански сектори (схемите, предназначени за туризма, широколентовите инфраструктури и преработката и продажбата на селскостопански продукти, не се считат за такива);</w:t>
            </w:r>
          </w:p>
          <w:p w:rsidR="0025789A" w:rsidRPr="009F530E" w:rsidRDefault="00681921" w:rsidP="00681921">
            <w:pPr>
              <w:autoSpaceDE w:val="0"/>
              <w:autoSpaceDN w:val="0"/>
              <w:adjustRightInd w:val="0"/>
              <w:spacing w:after="40"/>
              <w:ind w:left="318" w:hanging="318"/>
              <w:jc w:val="both"/>
              <w:rPr>
                <w:sz w:val="22"/>
                <w:szCs w:val="22"/>
              </w:rPr>
            </w:pPr>
            <w:r>
              <w:rPr>
                <w:sz w:val="22"/>
              </w:rPr>
              <w:t>в)</w:t>
            </w:r>
            <w:r>
              <w:rPr>
                <w:sz w:val="22"/>
              </w:rPr>
              <w:tab/>
            </w:r>
            <w:r w:rsidR="0025789A">
              <w:rPr>
                <w:sz w:val="22"/>
              </w:rPr>
              <w:t>схемите за компенсиране на разходите за транспорт на стоки, произведени в най-отдалечените региони или в слабонаселените региони — за дейностите, свързани с производството, преработката и продажбата на продукти, изброени в приложение I към Договора, за дейностите по Регламент 1893/2006 и за превоза на стоки по тръбопроводи;</w:t>
            </w:r>
          </w:p>
          <w:p w:rsidR="006A58CF" w:rsidRPr="009F530E" w:rsidRDefault="00681921" w:rsidP="00681921">
            <w:pPr>
              <w:autoSpaceDE w:val="0"/>
              <w:autoSpaceDN w:val="0"/>
              <w:adjustRightInd w:val="0"/>
              <w:spacing w:after="40"/>
              <w:ind w:left="318" w:hanging="318"/>
              <w:jc w:val="both"/>
              <w:rPr>
                <w:sz w:val="22"/>
                <w:szCs w:val="22"/>
              </w:rPr>
            </w:pPr>
            <w:r>
              <w:rPr>
                <w:sz w:val="22"/>
              </w:rPr>
              <w:t>г)</w:t>
            </w:r>
            <w:r>
              <w:rPr>
                <w:sz w:val="22"/>
              </w:rPr>
              <w:tab/>
            </w:r>
            <w:r w:rsidR="0025789A">
              <w:rPr>
                <w:sz w:val="22"/>
              </w:rPr>
              <w:t xml:space="preserve">индивидуалните инвестиционни помощи за бенефициери, които са закрили същата или подобна дейност в Европейското икономическо пространство </w:t>
            </w:r>
            <w:r w:rsidR="0025789A">
              <w:rPr>
                <w:sz w:val="22"/>
              </w:rPr>
              <w:lastRenderedPageBreak/>
              <w:t>през двете години, предхождащи тяхното заявление, или за бенефициери, които имат конкретни планове да закрият такава дейност в срок до две години след приключването на първоначалната инвестиция, за която се иска помощта, в съответния регион;</w:t>
            </w:r>
          </w:p>
          <w:p w:rsidR="0025789A" w:rsidRPr="009F530E" w:rsidRDefault="00681921" w:rsidP="00681921">
            <w:pPr>
              <w:autoSpaceDE w:val="0"/>
              <w:autoSpaceDN w:val="0"/>
              <w:adjustRightInd w:val="0"/>
              <w:spacing w:after="40"/>
              <w:ind w:left="318" w:hanging="318"/>
              <w:jc w:val="both"/>
              <w:rPr>
                <w:sz w:val="22"/>
                <w:szCs w:val="22"/>
              </w:rPr>
            </w:pPr>
            <w:r>
              <w:rPr>
                <w:sz w:val="22"/>
              </w:rPr>
              <w:t>д)</w:t>
            </w:r>
            <w:r>
              <w:rPr>
                <w:sz w:val="22"/>
              </w:rPr>
              <w:tab/>
            </w:r>
            <w:r w:rsidR="0025789A">
              <w:rPr>
                <w:sz w:val="22"/>
              </w:rPr>
              <w:t>оперативните помощи за предприятия с основни дейности по раздел К „Финансови и застрахователни дейности“ от NACE Rev. 2 или за предприятия, които извършват дейности в група и чиито основни дейности спадат към категория 70.10 „Дейност на централни офиси“ или 70.22 „Консултантски дейности в областта на управлението“ от NACE Rev. 2.</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BB2CA7">
            <w:pPr>
              <w:jc w:val="both"/>
              <w:rPr>
                <w:b/>
                <w:sz w:val="22"/>
                <w:szCs w:val="22"/>
              </w:rPr>
            </w:pPr>
            <w:r>
              <w:rPr>
                <w:b/>
                <w:sz w:val="22"/>
              </w:rPr>
              <w:lastRenderedPageBreak/>
              <w:t>Член 1 — Изключване на дружествата, засегнати от правилото Deggendorf (параграф 4)</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0E10AB" w:rsidP="00370E1E">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w:t>
            </w:r>
            <w:r w:rsidR="00B45E42">
              <w:rPr>
                <w:sz w:val="22"/>
              </w:rPr>
              <w:t>плащането на индивидуална помощ</w:t>
            </w:r>
            <w:r>
              <w:rPr>
                <w:sz w:val="22"/>
              </w:rPr>
              <w:t xml:space="preserve">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B45E42" w:rsidRPr="00B45E42">
              <w:rPr>
                <w:sz w:val="22"/>
              </w:rPr>
              <w:t xml:space="preserve">, </w:t>
            </w:r>
            <w:r w:rsidR="00B45E42">
              <w:rPr>
                <w:sz w:val="22"/>
              </w:rPr>
              <w:t xml:space="preserve">и </w:t>
            </w:r>
            <w:r w:rsidR="00B45E42" w:rsidRPr="00B45E42">
              <w:rPr>
                <w:b/>
                <w:sz w:val="22"/>
                <w:u w:val="single"/>
              </w:rPr>
              <w:t>не</w:t>
            </w:r>
            <w:r w:rsidR="00B45E42">
              <w:rPr>
                <w:sz w:val="22"/>
              </w:rPr>
              <w:t xml:space="preserve"> се прилага към помощ </w:t>
            </w:r>
            <w:r w:rsidR="00370E1E">
              <w:rPr>
                <w:sz w:val="22"/>
              </w:rPr>
              <w:t xml:space="preserve">ad hoc </w:t>
            </w:r>
            <w:r w:rsidR="00B45E42">
              <w:rPr>
                <w:sz w:val="22"/>
              </w:rPr>
              <w:t>на такова предприятие</w:t>
            </w:r>
            <w:r>
              <w:rPr>
                <w:sz w:val="22"/>
              </w:rPr>
              <w:t xml:space="preserve">. </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C371A5" w:rsidRDefault="000E10AB" w:rsidP="00867005">
            <w:pPr>
              <w:rPr>
                <w:b/>
                <w:spacing w:val="-4"/>
                <w:sz w:val="22"/>
                <w:szCs w:val="22"/>
              </w:rPr>
            </w:pPr>
            <w:r w:rsidRPr="00C371A5">
              <w:rPr>
                <w:b/>
                <w:spacing w:val="-4"/>
                <w:sz w:val="22"/>
              </w:rPr>
              <w:t>Член 1 — Изключване на дружествата в затруднено положение (параграф 4)</w:t>
            </w:r>
          </w:p>
        </w:tc>
        <w:tc>
          <w:tcPr>
            <w:tcW w:w="6946" w:type="dxa"/>
            <w:vMerge w:val="restart"/>
            <w:shd w:val="clear" w:color="auto" w:fill="auto"/>
          </w:tcPr>
          <w:p w:rsidR="000E10AB" w:rsidRPr="0017445D" w:rsidRDefault="000E10AB" w:rsidP="00867005"/>
        </w:tc>
      </w:tr>
      <w:tr w:rsidR="000E10AB" w:rsidRPr="0017445D" w:rsidTr="00793D63">
        <w:trPr>
          <w:trHeight w:val="478"/>
        </w:trPr>
        <w:tc>
          <w:tcPr>
            <w:tcW w:w="7666" w:type="dxa"/>
            <w:tcBorders>
              <w:bottom w:val="single" w:sz="4" w:space="0" w:color="auto"/>
            </w:tcBorders>
            <w:shd w:val="clear" w:color="auto" w:fill="auto"/>
          </w:tcPr>
          <w:p w:rsidR="000E10AB" w:rsidRPr="009F530E" w:rsidRDefault="000E10AB" w:rsidP="005B780B">
            <w:pPr>
              <w:spacing w:after="40"/>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6946" w:type="dxa"/>
            <w:vMerge/>
            <w:shd w:val="clear" w:color="auto" w:fill="auto"/>
          </w:tcPr>
          <w:p w:rsidR="000E10AB" w:rsidRPr="0017445D" w:rsidRDefault="000E10AB" w:rsidP="00867005"/>
        </w:tc>
      </w:tr>
      <w:tr w:rsidR="000E10AB" w:rsidRPr="0017445D" w:rsidTr="00793D63">
        <w:trPr>
          <w:trHeight w:val="145"/>
        </w:trPr>
        <w:tc>
          <w:tcPr>
            <w:tcW w:w="7666" w:type="dxa"/>
            <w:shd w:val="clear" w:color="auto" w:fill="D9D9D9"/>
          </w:tcPr>
          <w:p w:rsidR="000E10AB" w:rsidRPr="009F530E" w:rsidRDefault="000E10AB" w:rsidP="00C66B18">
            <w:pPr>
              <w:jc w:val="both"/>
              <w:rPr>
                <w:b/>
                <w:sz w:val="22"/>
                <w:szCs w:val="22"/>
              </w:rPr>
            </w:pPr>
            <w:r>
              <w:rPr>
                <w:b/>
                <w:sz w:val="22"/>
              </w:rPr>
              <w:t xml:space="preserve">Член 1 — Изключване на </w:t>
            </w:r>
            <w:r w:rsidR="00C66B18">
              <w:rPr>
                <w:b/>
                <w:sz w:val="22"/>
              </w:rPr>
              <w:t>мерките</w:t>
            </w:r>
            <w:r>
              <w:rPr>
                <w:b/>
                <w:sz w:val="22"/>
              </w:rPr>
              <w:t xml:space="preserve"> за помощ, които нарушават законодателството на Съюза (параграф 5)</w:t>
            </w:r>
          </w:p>
        </w:tc>
        <w:tc>
          <w:tcPr>
            <w:tcW w:w="6946" w:type="dxa"/>
            <w:vMerge w:val="restart"/>
            <w:shd w:val="clear" w:color="auto" w:fill="auto"/>
          </w:tcPr>
          <w:p w:rsidR="000E10AB" w:rsidRPr="0017445D" w:rsidRDefault="000E10AB" w:rsidP="00867005"/>
        </w:tc>
      </w:tr>
      <w:tr w:rsidR="000E10AB" w:rsidRPr="0017445D" w:rsidTr="00793D63">
        <w:trPr>
          <w:trHeight w:val="145"/>
        </w:trPr>
        <w:tc>
          <w:tcPr>
            <w:tcW w:w="7666" w:type="dxa"/>
            <w:tcBorders>
              <w:bottom w:val="single" w:sz="4" w:space="0" w:color="auto"/>
            </w:tcBorders>
            <w:shd w:val="clear" w:color="auto" w:fill="auto"/>
          </w:tcPr>
          <w:p w:rsidR="000E10AB" w:rsidRPr="009F530E" w:rsidRDefault="00DD52F8" w:rsidP="000C51C2">
            <w:pPr>
              <w:autoSpaceDE w:val="0"/>
              <w:autoSpaceDN w:val="0"/>
              <w:adjustRightInd w:val="0"/>
              <w:spacing w:after="40"/>
              <w:rPr>
                <w:rFonts w:ascii="EUAlbertina-Regu" w:hAnsi="EUAlbertina-Regu" w:cs="EUAlbertina-Regu"/>
                <w:sz w:val="22"/>
                <w:szCs w:val="22"/>
              </w:rPr>
            </w:pPr>
            <w:r>
              <w:rPr>
                <w:b/>
                <w:sz w:val="22"/>
                <w:u w:val="single"/>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DD24CA" w:rsidRPr="009F530E" w:rsidRDefault="00CB69C5" w:rsidP="00CB69C5">
            <w:pPr>
              <w:autoSpaceDE w:val="0"/>
              <w:autoSpaceDN w:val="0"/>
              <w:adjustRightInd w:val="0"/>
              <w:spacing w:after="40"/>
              <w:ind w:left="318" w:hanging="318"/>
              <w:jc w:val="both"/>
              <w:rPr>
                <w:sz w:val="22"/>
                <w:szCs w:val="22"/>
              </w:rPr>
            </w:pPr>
            <w:r w:rsidRPr="00CB69C5">
              <w:rPr>
                <w:sz w:val="22"/>
              </w:rPr>
              <w:t>а)</w:t>
            </w:r>
            <w:r w:rsidRPr="00CB69C5">
              <w:rPr>
                <w:sz w:val="22"/>
              </w:rPr>
              <w:tab/>
            </w:r>
            <w:r w:rsidR="000E10AB" w:rsidRPr="00CB69C5">
              <w:rPr>
                <w:sz w:val="22"/>
              </w:rPr>
              <w:t>задължение седалището или основното място на установяване на бенефициера да се намира в съответната държава членка.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DD24CA" w:rsidRPr="009F530E" w:rsidRDefault="00CB69C5" w:rsidP="00CB69C5">
            <w:pPr>
              <w:autoSpaceDE w:val="0"/>
              <w:autoSpaceDN w:val="0"/>
              <w:adjustRightInd w:val="0"/>
              <w:spacing w:after="40"/>
              <w:ind w:left="318" w:hanging="318"/>
              <w:jc w:val="both"/>
              <w:rPr>
                <w:sz w:val="22"/>
                <w:szCs w:val="22"/>
              </w:rPr>
            </w:pPr>
            <w:r>
              <w:rPr>
                <w:sz w:val="22"/>
              </w:rPr>
              <w:t>б)</w:t>
            </w:r>
            <w:r>
              <w:rPr>
                <w:sz w:val="22"/>
              </w:rPr>
              <w:tab/>
            </w:r>
            <w:r w:rsidR="000E10AB">
              <w:rPr>
                <w:sz w:val="22"/>
              </w:rPr>
              <w:t>задължение бенефициерът да използва стоки и услуги, произведени на територията на държавата членка;</w:t>
            </w:r>
          </w:p>
          <w:p w:rsidR="000E10AB" w:rsidRPr="009F530E" w:rsidRDefault="00CB69C5" w:rsidP="00CB69C5">
            <w:pPr>
              <w:autoSpaceDE w:val="0"/>
              <w:autoSpaceDN w:val="0"/>
              <w:adjustRightInd w:val="0"/>
              <w:spacing w:after="40"/>
              <w:ind w:left="318" w:hanging="318"/>
              <w:jc w:val="both"/>
              <w:rPr>
                <w:sz w:val="22"/>
                <w:szCs w:val="22"/>
              </w:rPr>
            </w:pPr>
            <w:r>
              <w:rPr>
                <w:sz w:val="22"/>
              </w:rPr>
              <w:t>в)</w:t>
            </w:r>
            <w:r>
              <w:rPr>
                <w:sz w:val="22"/>
              </w:rPr>
              <w:tab/>
            </w:r>
            <w:r w:rsidR="000E10AB">
              <w:rPr>
                <w:sz w:val="22"/>
              </w:rPr>
              <w:t xml:space="preserve">ограничаване на възможността бенефициерът да се възползва от </w:t>
            </w:r>
            <w:r w:rsidR="000E10AB">
              <w:rPr>
                <w:sz w:val="22"/>
              </w:rPr>
              <w:lastRenderedPageBreak/>
              <w:t>резултатите от научноизследователска и развойна дейност и иновации в други държави членки.</w:t>
            </w:r>
          </w:p>
        </w:tc>
        <w:tc>
          <w:tcPr>
            <w:tcW w:w="6946" w:type="dxa"/>
            <w:vMerge/>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jc w:val="both"/>
              <w:rPr>
                <w:b/>
                <w:sz w:val="22"/>
                <w:szCs w:val="22"/>
              </w:rPr>
            </w:pPr>
            <w:r>
              <w:rPr>
                <w:b/>
                <w:sz w:val="22"/>
              </w:rPr>
              <w:lastRenderedPageBreak/>
              <w:t>Член 4 — Индивидуални прагове за уведомяване</w:t>
            </w:r>
          </w:p>
        </w:tc>
        <w:tc>
          <w:tcPr>
            <w:tcW w:w="6946" w:type="dxa"/>
            <w:shd w:val="clear" w:color="auto" w:fill="auto"/>
          </w:tcPr>
          <w:p w:rsidR="000E10AB" w:rsidRPr="0017445D" w:rsidRDefault="000E10AB" w:rsidP="00CA2F50"/>
        </w:tc>
      </w:tr>
      <w:tr w:rsidR="000E10AB" w:rsidRPr="0017445D" w:rsidTr="00793D63">
        <w:trPr>
          <w:trHeight w:val="271"/>
        </w:trPr>
        <w:tc>
          <w:tcPr>
            <w:tcW w:w="7666" w:type="dxa"/>
            <w:tcBorders>
              <w:bottom w:val="single" w:sz="4" w:space="0" w:color="auto"/>
            </w:tcBorders>
            <w:shd w:val="clear" w:color="auto" w:fill="auto"/>
          </w:tcPr>
          <w:p w:rsidR="000E10AB" w:rsidRPr="009F530E" w:rsidRDefault="000E10AB" w:rsidP="00CA2F50">
            <w:pPr>
              <w:rPr>
                <w:sz w:val="22"/>
                <w:szCs w:val="22"/>
              </w:rPr>
            </w:pPr>
            <w:r>
              <w:rPr>
                <w:b/>
                <w:sz w:val="22"/>
              </w:rPr>
              <w:t>Не</w:t>
            </w:r>
            <w:r>
              <w:rPr>
                <w:sz w:val="22"/>
              </w:rPr>
              <w:t xml:space="preserve"> се прилага за помощи, надхвърлящи:</w:t>
            </w:r>
          </w:p>
          <w:p w:rsidR="000E10AB" w:rsidRPr="009F530E" w:rsidRDefault="000E10AB" w:rsidP="009F52DA">
            <w:pPr>
              <w:numPr>
                <w:ilvl w:val="0"/>
                <w:numId w:val="8"/>
              </w:numPr>
              <w:autoSpaceDE w:val="0"/>
              <w:autoSpaceDN w:val="0"/>
              <w:adjustRightInd w:val="0"/>
              <w:ind w:left="328" w:hanging="283"/>
              <w:jc w:val="both"/>
              <w:rPr>
                <w:sz w:val="22"/>
                <w:szCs w:val="22"/>
              </w:rPr>
            </w:pPr>
            <w:r>
              <w:rPr>
                <w:sz w:val="22"/>
              </w:rPr>
              <w:t>за регионални инвестиционни помощи: коригирания размер на помощта, изчислен по механизма, определен в член 2, точка 20, за инвестиция с допустими разходи от 100 милиона евро;</w:t>
            </w:r>
          </w:p>
          <w:p w:rsidR="000E10AB" w:rsidRPr="009F530E" w:rsidRDefault="000E10AB" w:rsidP="00D177B0">
            <w:pPr>
              <w:numPr>
                <w:ilvl w:val="0"/>
                <w:numId w:val="8"/>
              </w:numPr>
              <w:autoSpaceDE w:val="0"/>
              <w:autoSpaceDN w:val="0"/>
              <w:adjustRightInd w:val="0"/>
              <w:ind w:left="328" w:hanging="283"/>
              <w:jc w:val="both"/>
              <w:rPr>
                <w:sz w:val="22"/>
                <w:szCs w:val="22"/>
              </w:rPr>
            </w:pPr>
            <w:r>
              <w:rPr>
                <w:sz w:val="22"/>
              </w:rPr>
              <w:t>за регионални помощи за градско развитие: 20 милиона евро съгласно разпоредбите в член 16, параграф 3.</w:t>
            </w:r>
          </w:p>
          <w:p w:rsidR="00DD52F8" w:rsidRPr="009F530E" w:rsidRDefault="00DD52F8" w:rsidP="00DD52F8">
            <w:pPr>
              <w:autoSpaceDE w:val="0"/>
              <w:autoSpaceDN w:val="0"/>
              <w:adjustRightInd w:val="0"/>
              <w:ind w:left="45"/>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проектите за помощ. </w:t>
            </w:r>
          </w:p>
        </w:tc>
        <w:tc>
          <w:tcPr>
            <w:tcW w:w="6946" w:type="dxa"/>
            <w:shd w:val="clear" w:color="auto" w:fill="auto"/>
          </w:tcPr>
          <w:p w:rsidR="000E10AB" w:rsidRPr="0017445D" w:rsidRDefault="000E10AB" w:rsidP="00CA2F50"/>
        </w:tc>
      </w:tr>
      <w:tr w:rsidR="000E10AB" w:rsidRPr="0017445D" w:rsidTr="00793D63">
        <w:trPr>
          <w:trHeight w:val="344"/>
        </w:trPr>
        <w:tc>
          <w:tcPr>
            <w:tcW w:w="7666" w:type="dxa"/>
            <w:shd w:val="clear" w:color="auto" w:fill="D9D9D9"/>
          </w:tcPr>
          <w:p w:rsidR="000E10AB" w:rsidRPr="009F530E" w:rsidRDefault="000E10AB" w:rsidP="000E10AB">
            <w:pPr>
              <w:jc w:val="both"/>
              <w:rPr>
                <w:b/>
                <w:sz w:val="22"/>
                <w:szCs w:val="22"/>
              </w:rPr>
            </w:pPr>
            <w:r>
              <w:rPr>
                <w:b/>
                <w:sz w:val="22"/>
              </w:rPr>
              <w:t xml:space="preserve">Член 5 — Прозрачност на помощта </w:t>
            </w:r>
          </w:p>
        </w:tc>
        <w:tc>
          <w:tcPr>
            <w:tcW w:w="6946" w:type="dxa"/>
            <w:shd w:val="clear" w:color="auto" w:fill="auto"/>
          </w:tcPr>
          <w:p w:rsidR="000E10AB" w:rsidRPr="0017445D" w:rsidRDefault="000E10AB" w:rsidP="00867005"/>
        </w:tc>
      </w:tr>
      <w:tr w:rsidR="000E10AB" w:rsidRPr="0017445D" w:rsidTr="00793D63">
        <w:trPr>
          <w:trHeight w:val="344"/>
        </w:trPr>
        <w:tc>
          <w:tcPr>
            <w:tcW w:w="7666" w:type="dxa"/>
            <w:shd w:val="clear" w:color="auto" w:fill="auto"/>
          </w:tcPr>
          <w:p w:rsidR="000E10AB" w:rsidRPr="009F530E" w:rsidRDefault="00DD24CA" w:rsidP="00CA2F50">
            <w:pPr>
              <w:jc w:val="both"/>
              <w:rPr>
                <w:sz w:val="22"/>
                <w:szCs w:val="22"/>
              </w:rPr>
            </w:pPr>
            <w:r>
              <w:rPr>
                <w:sz w:val="22"/>
              </w:rPr>
              <w:t>Прилага се само за прозрачни помощи, като за прозрачни се считат:</w:t>
            </w:r>
          </w:p>
          <w:p w:rsidR="000E10AB" w:rsidRPr="009F530E" w:rsidRDefault="0018067D" w:rsidP="0018067D">
            <w:pPr>
              <w:autoSpaceDE w:val="0"/>
              <w:autoSpaceDN w:val="0"/>
              <w:adjustRightInd w:val="0"/>
              <w:spacing w:after="40"/>
              <w:ind w:left="318" w:hanging="318"/>
              <w:jc w:val="both"/>
              <w:rPr>
                <w:sz w:val="22"/>
                <w:szCs w:val="22"/>
              </w:rPr>
            </w:pPr>
            <w:r>
              <w:rPr>
                <w:sz w:val="22"/>
              </w:rPr>
              <w:t>а)</w:t>
            </w:r>
            <w:r>
              <w:rPr>
                <w:sz w:val="22"/>
              </w:rPr>
              <w:tab/>
            </w:r>
            <w:r w:rsidR="000E10AB">
              <w:rPr>
                <w:sz w:val="22"/>
              </w:rPr>
              <w:t>безвъзмездните средства и лихвените субсидии;</w:t>
            </w:r>
          </w:p>
          <w:p w:rsidR="000E10AB" w:rsidRPr="009F530E" w:rsidRDefault="0018067D" w:rsidP="0018067D">
            <w:pPr>
              <w:autoSpaceDE w:val="0"/>
              <w:autoSpaceDN w:val="0"/>
              <w:adjustRightInd w:val="0"/>
              <w:spacing w:after="40"/>
              <w:ind w:left="318" w:hanging="318"/>
              <w:jc w:val="both"/>
              <w:rPr>
                <w:sz w:val="22"/>
                <w:szCs w:val="22"/>
              </w:rPr>
            </w:pPr>
            <w:r>
              <w:rPr>
                <w:sz w:val="22"/>
              </w:rPr>
              <w:t>б)</w:t>
            </w:r>
            <w:r>
              <w:rPr>
                <w:sz w:val="22"/>
              </w:rPr>
              <w:tab/>
            </w:r>
            <w:r w:rsidR="000E10AB">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9F530E" w:rsidRDefault="0018067D" w:rsidP="0018067D">
            <w:pPr>
              <w:autoSpaceDE w:val="0"/>
              <w:autoSpaceDN w:val="0"/>
              <w:adjustRightInd w:val="0"/>
              <w:spacing w:after="40"/>
              <w:ind w:left="318" w:hanging="318"/>
              <w:jc w:val="both"/>
              <w:rPr>
                <w:sz w:val="22"/>
                <w:szCs w:val="22"/>
              </w:rPr>
            </w:pPr>
            <w:r>
              <w:rPr>
                <w:sz w:val="22"/>
              </w:rPr>
              <w:t>в)</w:t>
            </w:r>
            <w:r>
              <w:rPr>
                <w:sz w:val="22"/>
              </w:rPr>
              <w:tab/>
            </w:r>
            <w:r w:rsidR="000E10AB">
              <w:rPr>
                <w:sz w:val="22"/>
              </w:rPr>
              <w:t xml:space="preserve">гаранциите (брутният еквивалент на безвъзмездна помощ е изчислен въз основа на минималните премии, посочени в известие на Комисията; </w:t>
            </w:r>
          </w:p>
          <w:p w:rsidR="000E10AB" w:rsidRPr="009F530E" w:rsidRDefault="000E10AB" w:rsidP="009F530E">
            <w:pPr>
              <w:autoSpaceDE w:val="0"/>
              <w:autoSpaceDN w:val="0"/>
              <w:adjustRightInd w:val="0"/>
              <w:spacing w:after="40"/>
              <w:ind w:left="375"/>
              <w:jc w:val="both"/>
              <w:rPr>
                <w:sz w:val="22"/>
                <w:szCs w:val="22"/>
              </w:rPr>
            </w:pPr>
            <w:r>
              <w:rPr>
                <w:sz w:val="22"/>
              </w:rPr>
              <w:t xml:space="preserve">или </w:t>
            </w:r>
          </w:p>
          <w:p w:rsidR="000E10AB" w:rsidRPr="00E9375A" w:rsidRDefault="000E10AB" w:rsidP="009F530E">
            <w:pPr>
              <w:autoSpaceDE w:val="0"/>
              <w:autoSpaceDN w:val="0"/>
              <w:adjustRightInd w:val="0"/>
              <w:spacing w:after="40"/>
              <w:ind w:left="375"/>
              <w:jc w:val="both"/>
              <w:rPr>
                <w:spacing w:val="-4"/>
                <w:sz w:val="22"/>
                <w:szCs w:val="22"/>
              </w:rPr>
            </w:pPr>
            <w:r w:rsidRPr="00E9375A">
              <w:rPr>
                <w:spacing w:val="-4"/>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DD24CA" w:rsidRPr="009F530E" w:rsidRDefault="0018067D" w:rsidP="0018067D">
            <w:pPr>
              <w:autoSpaceDE w:val="0"/>
              <w:autoSpaceDN w:val="0"/>
              <w:adjustRightInd w:val="0"/>
              <w:spacing w:after="40"/>
              <w:ind w:left="318" w:hanging="318"/>
              <w:jc w:val="both"/>
              <w:rPr>
                <w:sz w:val="22"/>
                <w:szCs w:val="22"/>
              </w:rPr>
            </w:pPr>
            <w:r>
              <w:rPr>
                <w:sz w:val="22"/>
              </w:rPr>
              <w:t>г)</w:t>
            </w:r>
            <w:r>
              <w:rPr>
                <w:sz w:val="22"/>
              </w:rPr>
              <w:tab/>
            </w:r>
            <w:r w:rsidR="000E10AB">
              <w:rPr>
                <w:sz w:val="22"/>
              </w:rPr>
              <w:t>данъчните предимства (когато по мярката е предвиден таван, с който се гарантира, че прагът няма да бъде надхвърлен);</w:t>
            </w:r>
          </w:p>
          <w:p w:rsidR="000E10AB" w:rsidRPr="009F530E" w:rsidRDefault="0018067D" w:rsidP="0018067D">
            <w:pPr>
              <w:autoSpaceDE w:val="0"/>
              <w:autoSpaceDN w:val="0"/>
              <w:adjustRightInd w:val="0"/>
              <w:spacing w:after="40"/>
              <w:ind w:left="318" w:hanging="318"/>
              <w:jc w:val="both"/>
              <w:rPr>
                <w:b/>
                <w:sz w:val="22"/>
                <w:szCs w:val="22"/>
              </w:rPr>
            </w:pPr>
            <w:r>
              <w:rPr>
                <w:sz w:val="22"/>
              </w:rPr>
              <w:t>д)</w:t>
            </w:r>
            <w:r>
              <w:rPr>
                <w:sz w:val="22"/>
              </w:rPr>
              <w:tab/>
            </w:r>
            <w:r w:rsidR="001910C8">
              <w:rPr>
                <w:sz w:val="22"/>
              </w:rPr>
              <w:t>регионалните помощи за градско развитие (ако са изпълнени условията в член 16).</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rPr>
                <w:b/>
                <w:sz w:val="22"/>
                <w:szCs w:val="22"/>
              </w:rPr>
            </w:pPr>
            <w:r>
              <w:rPr>
                <w:b/>
                <w:sz w:val="22"/>
              </w:rPr>
              <w:t xml:space="preserve">Член 6 — Стимулиращ ефект </w:t>
            </w:r>
          </w:p>
        </w:tc>
        <w:tc>
          <w:tcPr>
            <w:tcW w:w="6946" w:type="dxa"/>
            <w:shd w:val="clear" w:color="auto" w:fill="D9D9D9"/>
          </w:tcPr>
          <w:p w:rsidR="000E10AB" w:rsidRPr="0017445D" w:rsidRDefault="000E10AB" w:rsidP="00CA2F50"/>
        </w:tc>
      </w:tr>
      <w:tr w:rsidR="000E10AB" w:rsidRPr="0017445D" w:rsidTr="00793D63">
        <w:trPr>
          <w:trHeight w:val="271"/>
        </w:trPr>
        <w:tc>
          <w:tcPr>
            <w:tcW w:w="7666" w:type="dxa"/>
            <w:tcBorders>
              <w:bottom w:val="single" w:sz="4" w:space="0" w:color="auto"/>
            </w:tcBorders>
            <w:shd w:val="clear" w:color="auto" w:fill="auto"/>
          </w:tcPr>
          <w:p w:rsidR="000E10AB" w:rsidRPr="009F530E" w:rsidRDefault="000E10AB" w:rsidP="00CA2F50">
            <w:pPr>
              <w:rPr>
                <w:sz w:val="22"/>
                <w:szCs w:val="22"/>
              </w:rPr>
            </w:pPr>
            <w:r>
              <w:rPr>
                <w:sz w:val="22"/>
              </w:rPr>
              <w:lastRenderedPageBreak/>
              <w:t>Помощта може да бъде освободена от задължението за уведомяване само ако има стимулиращ ефект:</w:t>
            </w:r>
          </w:p>
          <w:p w:rsidR="000E10AB" w:rsidRPr="002C323D" w:rsidRDefault="000E10AB" w:rsidP="00B46C58">
            <w:pPr>
              <w:numPr>
                <w:ilvl w:val="0"/>
                <w:numId w:val="5"/>
              </w:numPr>
              <w:rPr>
                <w:sz w:val="22"/>
                <w:szCs w:val="22"/>
              </w:rPr>
            </w:pPr>
            <w:r w:rsidRPr="002C323D">
              <w:rPr>
                <w:b/>
                <w:sz w:val="22"/>
                <w:szCs w:val="22"/>
              </w:rPr>
              <w:t>преди работата</w:t>
            </w:r>
            <w:r w:rsidRPr="002C323D">
              <w:rPr>
                <w:sz w:val="22"/>
                <w:szCs w:val="22"/>
              </w:rPr>
              <w:t xml:space="preserve"> по проекта или дейността да е започнала, </w:t>
            </w:r>
            <w:r w:rsidRPr="002C323D">
              <w:rPr>
                <w:b/>
                <w:sz w:val="22"/>
                <w:szCs w:val="22"/>
              </w:rPr>
              <w:t>бенефициерът е подал до държавата членка заявление за помощ</w:t>
            </w:r>
            <w:r w:rsidRPr="002C323D">
              <w:rPr>
                <w:sz w:val="22"/>
                <w:szCs w:val="22"/>
              </w:rPr>
              <w:t>, което съдържа поне следната информация:</w:t>
            </w:r>
          </w:p>
          <w:p w:rsidR="000E10AB" w:rsidRPr="002C323D" w:rsidRDefault="006A7039" w:rsidP="006A7039">
            <w:pPr>
              <w:autoSpaceDE w:val="0"/>
              <w:autoSpaceDN w:val="0"/>
              <w:adjustRightInd w:val="0"/>
              <w:ind w:left="360"/>
              <w:rPr>
                <w:sz w:val="22"/>
                <w:szCs w:val="22"/>
              </w:rPr>
            </w:pPr>
            <w:r w:rsidRPr="002C323D">
              <w:rPr>
                <w:sz w:val="22"/>
                <w:szCs w:val="22"/>
              </w:rPr>
              <w:t>а)</w:t>
            </w:r>
            <w:r w:rsidRPr="002C323D">
              <w:rPr>
                <w:sz w:val="22"/>
                <w:szCs w:val="22"/>
              </w:rPr>
              <w:tab/>
            </w:r>
            <w:r w:rsidR="000E10AB" w:rsidRPr="002C323D">
              <w:rPr>
                <w:sz w:val="22"/>
                <w:szCs w:val="22"/>
              </w:rPr>
              <w:t>наименование и големина на предприятието;</w:t>
            </w:r>
          </w:p>
          <w:p w:rsidR="000E10AB" w:rsidRPr="009F530E" w:rsidRDefault="006A7039" w:rsidP="006A7039">
            <w:pPr>
              <w:autoSpaceDE w:val="0"/>
              <w:autoSpaceDN w:val="0"/>
              <w:adjustRightInd w:val="0"/>
              <w:ind w:left="360"/>
              <w:rPr>
                <w:sz w:val="22"/>
                <w:szCs w:val="22"/>
              </w:rPr>
            </w:pPr>
            <w:r>
              <w:rPr>
                <w:sz w:val="22"/>
              </w:rPr>
              <w:t>б)</w:t>
            </w:r>
            <w:r>
              <w:rPr>
                <w:sz w:val="22"/>
              </w:rPr>
              <w:tab/>
            </w:r>
            <w:r w:rsidR="000E10AB">
              <w:rPr>
                <w:sz w:val="22"/>
              </w:rPr>
              <w:t>описание на проекта, включително неговата начална и крайна дата;</w:t>
            </w:r>
          </w:p>
          <w:p w:rsidR="000E10AB" w:rsidRPr="009F530E" w:rsidRDefault="006A7039" w:rsidP="006A7039">
            <w:pPr>
              <w:autoSpaceDE w:val="0"/>
              <w:autoSpaceDN w:val="0"/>
              <w:adjustRightInd w:val="0"/>
              <w:ind w:left="360"/>
              <w:rPr>
                <w:sz w:val="22"/>
                <w:szCs w:val="22"/>
              </w:rPr>
            </w:pPr>
            <w:r>
              <w:rPr>
                <w:sz w:val="22"/>
              </w:rPr>
              <w:t>в)</w:t>
            </w:r>
            <w:r>
              <w:rPr>
                <w:sz w:val="22"/>
              </w:rPr>
              <w:tab/>
            </w:r>
            <w:r w:rsidR="000E10AB">
              <w:rPr>
                <w:sz w:val="22"/>
              </w:rPr>
              <w:t>местонахождение на проекта;</w:t>
            </w:r>
          </w:p>
          <w:p w:rsidR="000E10AB" w:rsidRPr="009F530E" w:rsidRDefault="006A7039" w:rsidP="006A7039">
            <w:pPr>
              <w:autoSpaceDE w:val="0"/>
              <w:autoSpaceDN w:val="0"/>
              <w:adjustRightInd w:val="0"/>
              <w:ind w:left="360"/>
              <w:rPr>
                <w:sz w:val="22"/>
                <w:szCs w:val="22"/>
              </w:rPr>
            </w:pPr>
            <w:r>
              <w:rPr>
                <w:sz w:val="22"/>
              </w:rPr>
              <w:t>г)</w:t>
            </w:r>
            <w:r>
              <w:rPr>
                <w:sz w:val="22"/>
              </w:rPr>
              <w:tab/>
            </w:r>
            <w:r w:rsidR="000E10AB">
              <w:rPr>
                <w:sz w:val="22"/>
              </w:rPr>
              <w:t>списък с разходите по проекта;</w:t>
            </w:r>
          </w:p>
          <w:p w:rsidR="000E10AB" w:rsidRPr="009F530E" w:rsidRDefault="006A7039" w:rsidP="006A7039">
            <w:pPr>
              <w:autoSpaceDE w:val="0"/>
              <w:autoSpaceDN w:val="0"/>
              <w:adjustRightInd w:val="0"/>
              <w:ind w:left="714" w:hanging="357"/>
              <w:jc w:val="both"/>
              <w:rPr>
                <w:sz w:val="22"/>
                <w:szCs w:val="22"/>
              </w:rPr>
            </w:pPr>
            <w:r>
              <w:rPr>
                <w:sz w:val="22"/>
              </w:rPr>
              <w:t>д)</w:t>
            </w:r>
            <w:r>
              <w:rPr>
                <w:sz w:val="22"/>
              </w:rPr>
              <w:tab/>
            </w:r>
            <w:r w:rsidR="000E10AB">
              <w:rPr>
                <w:sz w:val="22"/>
              </w:rPr>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0E10AB" w:rsidRPr="009F530E" w:rsidRDefault="00782E44" w:rsidP="00B46C58">
            <w:pPr>
              <w:numPr>
                <w:ilvl w:val="0"/>
                <w:numId w:val="5"/>
              </w:numPr>
              <w:autoSpaceDE w:val="0"/>
              <w:autoSpaceDN w:val="0"/>
              <w:adjustRightInd w:val="0"/>
              <w:jc w:val="both"/>
              <w:rPr>
                <w:sz w:val="22"/>
                <w:szCs w:val="22"/>
              </w:rPr>
            </w:pPr>
            <w:r w:rsidRPr="002C323D">
              <w:rPr>
                <w:b/>
                <w:sz w:val="22"/>
                <w:szCs w:val="22"/>
              </w:rPr>
              <w:t>помощи ad hoc за големи предприятия:</w:t>
            </w:r>
            <w:r w:rsidRPr="002C323D">
              <w:rPr>
                <w:sz w:val="22"/>
                <w:szCs w:val="22"/>
              </w:rPr>
              <w:t xml:space="preserve"> освен горното, преди да предостави помощта, държавата членка се е уверила, че с представената от бенефициера документация са доказани едно</w:t>
            </w:r>
            <w:r>
              <w:rPr>
                <w:sz w:val="22"/>
              </w:rPr>
              <w:t xml:space="preserve"> или повече от следните положения:</w:t>
            </w:r>
          </w:p>
          <w:p w:rsidR="000E10AB" w:rsidRPr="008314BB" w:rsidRDefault="008314BB" w:rsidP="008314BB">
            <w:pPr>
              <w:autoSpaceDE w:val="0"/>
              <w:autoSpaceDN w:val="0"/>
              <w:adjustRightInd w:val="0"/>
              <w:ind w:left="714" w:hanging="357"/>
              <w:jc w:val="both"/>
              <w:rPr>
                <w:sz w:val="22"/>
              </w:rPr>
            </w:pPr>
            <w:r>
              <w:rPr>
                <w:sz w:val="22"/>
              </w:rPr>
              <w:t>а)</w:t>
            </w:r>
            <w:r>
              <w:rPr>
                <w:sz w:val="22"/>
              </w:rPr>
              <w:tab/>
            </w:r>
            <w:r w:rsidR="000E10AB">
              <w:rPr>
                <w:sz w:val="22"/>
              </w:rPr>
              <w:t>ако е регионална инвестиционна помощ: осъществяване на проект, който без помощта не би бил осъществен в съответния регион или не би бил достатъчно рентабилен за бенефициера в съответния регион;</w:t>
            </w:r>
          </w:p>
          <w:p w:rsidR="00782E44" w:rsidRPr="008314BB" w:rsidRDefault="008314BB" w:rsidP="008314BB">
            <w:pPr>
              <w:autoSpaceDE w:val="0"/>
              <w:autoSpaceDN w:val="0"/>
              <w:adjustRightInd w:val="0"/>
              <w:ind w:left="714" w:hanging="357"/>
              <w:jc w:val="both"/>
              <w:rPr>
                <w:sz w:val="22"/>
              </w:rPr>
            </w:pPr>
            <w:r>
              <w:rPr>
                <w:sz w:val="22"/>
              </w:rPr>
              <w:t>б)</w:t>
            </w:r>
            <w:r>
              <w:rPr>
                <w:sz w:val="22"/>
              </w:rPr>
              <w:tab/>
            </w:r>
            <w:r w:rsidR="00782E44">
              <w:rPr>
                <w:sz w:val="22"/>
              </w:rPr>
              <w:t xml:space="preserve">във всички други случаи: </w:t>
            </w:r>
          </w:p>
          <w:p w:rsidR="00782E44" w:rsidRPr="006250A2" w:rsidRDefault="00782E44" w:rsidP="009F530E">
            <w:pPr>
              <w:numPr>
                <w:ilvl w:val="0"/>
                <w:numId w:val="58"/>
              </w:numPr>
              <w:autoSpaceDE w:val="0"/>
              <w:autoSpaceDN w:val="0"/>
              <w:adjustRightInd w:val="0"/>
              <w:jc w:val="both"/>
              <w:rPr>
                <w:sz w:val="22"/>
                <w:szCs w:val="22"/>
              </w:rPr>
            </w:pPr>
            <w:r>
              <w:rPr>
                <w:sz w:val="22"/>
              </w:rPr>
              <w:t xml:space="preserve">съществено нарастване на обхвата на проекта или дейността в резултат на помощта; или </w:t>
            </w:r>
          </w:p>
          <w:p w:rsidR="00782E44" w:rsidRPr="006250A2" w:rsidRDefault="00782E44" w:rsidP="009F530E">
            <w:pPr>
              <w:numPr>
                <w:ilvl w:val="0"/>
                <w:numId w:val="58"/>
              </w:numPr>
              <w:autoSpaceDE w:val="0"/>
              <w:autoSpaceDN w:val="0"/>
              <w:adjustRightInd w:val="0"/>
              <w:jc w:val="both"/>
              <w:rPr>
                <w:sz w:val="22"/>
                <w:szCs w:val="22"/>
              </w:rPr>
            </w:pPr>
            <w:r>
              <w:rPr>
                <w:sz w:val="22"/>
              </w:rPr>
              <w:t>съществено увеличение на общата сума, изразходвана от бенефициера за проекта или дейността, в резултат на помощта; или</w:t>
            </w:r>
          </w:p>
          <w:p w:rsidR="00782E44" w:rsidRPr="009F530E" w:rsidRDefault="00782E44" w:rsidP="009F530E">
            <w:pPr>
              <w:numPr>
                <w:ilvl w:val="0"/>
                <w:numId w:val="58"/>
              </w:numPr>
              <w:autoSpaceDE w:val="0"/>
              <w:autoSpaceDN w:val="0"/>
              <w:adjustRightInd w:val="0"/>
              <w:jc w:val="both"/>
              <w:rPr>
                <w:sz w:val="22"/>
                <w:szCs w:val="22"/>
              </w:rPr>
            </w:pPr>
            <w:r>
              <w:rPr>
                <w:sz w:val="22"/>
              </w:rPr>
              <w:t>съществено нарастване на скоростта на изпълнение на съответния проект или съответната дейност.</w:t>
            </w:r>
          </w:p>
          <w:p w:rsidR="000E10AB" w:rsidRPr="009F530E" w:rsidRDefault="000E10AB" w:rsidP="00CA2F50">
            <w:pPr>
              <w:ind w:left="396"/>
              <w:rPr>
                <w:sz w:val="22"/>
                <w:szCs w:val="22"/>
              </w:rPr>
            </w:pPr>
            <w:r>
              <w:rPr>
                <w:sz w:val="22"/>
                <w:szCs w:val="22"/>
              </w:rPr>
              <w:sym w:font="Wingdings" w:char="F0E0"/>
            </w:r>
            <w:r>
              <w:rPr>
                <w:b/>
              </w:rPr>
              <w:t>Изключения</w:t>
            </w:r>
          </w:p>
          <w:p w:rsidR="000E10AB" w:rsidRPr="009F530E" w:rsidRDefault="00782E44" w:rsidP="00B46C58">
            <w:pPr>
              <w:numPr>
                <w:ilvl w:val="0"/>
                <w:numId w:val="5"/>
              </w:numPr>
              <w:rPr>
                <w:sz w:val="22"/>
                <w:szCs w:val="22"/>
              </w:rPr>
            </w:pPr>
            <w:r>
              <w:rPr>
                <w:sz w:val="22"/>
              </w:rPr>
              <w:t>За данъчните предимства се счита, че имат стимулиращ ефект, ако:</w:t>
            </w:r>
          </w:p>
          <w:p w:rsidR="000E10AB" w:rsidRPr="00927E93" w:rsidRDefault="00927E93" w:rsidP="00927E93">
            <w:pPr>
              <w:autoSpaceDE w:val="0"/>
              <w:autoSpaceDN w:val="0"/>
              <w:adjustRightInd w:val="0"/>
              <w:ind w:left="714" w:hanging="357"/>
              <w:jc w:val="both"/>
              <w:rPr>
                <w:sz w:val="22"/>
              </w:rPr>
            </w:pPr>
            <w:r>
              <w:rPr>
                <w:sz w:val="22"/>
              </w:rPr>
              <w:t>а)</w:t>
            </w:r>
            <w:r>
              <w:rPr>
                <w:sz w:val="22"/>
              </w:rPr>
              <w:tab/>
            </w:r>
            <w:r w:rsidR="000E10AB">
              <w:rPr>
                <w:sz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0E10AB" w:rsidRPr="009F530E" w:rsidRDefault="00927E93" w:rsidP="00927E93">
            <w:pPr>
              <w:autoSpaceDE w:val="0"/>
              <w:autoSpaceDN w:val="0"/>
              <w:adjustRightInd w:val="0"/>
              <w:ind w:left="714" w:hanging="357"/>
              <w:jc w:val="both"/>
              <w:rPr>
                <w:sz w:val="22"/>
                <w:szCs w:val="22"/>
              </w:rPr>
            </w:pPr>
            <w:r>
              <w:rPr>
                <w:sz w:val="22"/>
              </w:rPr>
              <w:lastRenderedPageBreak/>
              <w:t>б)</w:t>
            </w:r>
            <w:r>
              <w:rPr>
                <w:sz w:val="22"/>
              </w:rPr>
              <w:tab/>
            </w:r>
            <w:r w:rsidR="000E10AB">
              <w:rPr>
                <w:sz w:val="22"/>
              </w:rPr>
              <w:t>мярката е приета и е била в сила преди започването на работата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p>
          <w:p w:rsidR="000E10AB" w:rsidRPr="009F530E" w:rsidRDefault="00782E44" w:rsidP="009F530E">
            <w:pPr>
              <w:numPr>
                <w:ilvl w:val="0"/>
                <w:numId w:val="5"/>
              </w:numPr>
              <w:autoSpaceDE w:val="0"/>
              <w:autoSpaceDN w:val="0"/>
              <w:adjustRightInd w:val="0"/>
              <w:jc w:val="both"/>
              <w:rPr>
                <w:sz w:val="22"/>
                <w:szCs w:val="22"/>
              </w:rPr>
            </w:pPr>
            <w:r>
              <w:rPr>
                <w:sz w:val="22"/>
              </w:rPr>
              <w:t>За регионалните оперативни помощи се счита, че имат стимулиращ ефект, ако са изпълнени условията в член 15.</w:t>
            </w:r>
          </w:p>
        </w:tc>
        <w:tc>
          <w:tcPr>
            <w:tcW w:w="6946" w:type="dxa"/>
            <w:shd w:val="clear" w:color="auto" w:fill="auto"/>
          </w:tcPr>
          <w:p w:rsidR="000E10AB" w:rsidRPr="0017445D" w:rsidRDefault="000E10AB" w:rsidP="00CA2F50"/>
        </w:tc>
      </w:tr>
      <w:tr w:rsidR="000E10AB" w:rsidRPr="0017445D" w:rsidTr="00793D63">
        <w:trPr>
          <w:trHeight w:val="344"/>
        </w:trPr>
        <w:tc>
          <w:tcPr>
            <w:tcW w:w="7666" w:type="dxa"/>
            <w:shd w:val="clear" w:color="auto" w:fill="D9D9D9"/>
          </w:tcPr>
          <w:p w:rsidR="000E10AB" w:rsidRPr="009F530E" w:rsidRDefault="000E10AB" w:rsidP="00917062">
            <w:pPr>
              <w:jc w:val="both"/>
              <w:rPr>
                <w:b/>
                <w:sz w:val="22"/>
                <w:szCs w:val="22"/>
              </w:rPr>
            </w:pPr>
            <w:r>
              <w:rPr>
                <w:b/>
                <w:sz w:val="22"/>
              </w:rPr>
              <w:lastRenderedPageBreak/>
              <w:t>Член 7 — Допустими разходи</w:t>
            </w:r>
          </w:p>
        </w:tc>
        <w:tc>
          <w:tcPr>
            <w:tcW w:w="6946" w:type="dxa"/>
            <w:shd w:val="clear" w:color="auto" w:fill="auto"/>
          </w:tcPr>
          <w:p w:rsidR="000E10AB" w:rsidRPr="0017445D" w:rsidRDefault="000E10AB" w:rsidP="00867005"/>
        </w:tc>
      </w:tr>
      <w:tr w:rsidR="000E10AB" w:rsidRPr="0017445D" w:rsidTr="00793D63">
        <w:trPr>
          <w:trHeight w:val="1101"/>
        </w:trPr>
        <w:tc>
          <w:tcPr>
            <w:tcW w:w="7666" w:type="dxa"/>
            <w:tcBorders>
              <w:bottom w:val="single" w:sz="4" w:space="0" w:color="auto"/>
            </w:tcBorders>
            <w:shd w:val="clear" w:color="auto" w:fill="auto"/>
          </w:tcPr>
          <w:p w:rsidR="000E10AB" w:rsidRPr="009F530E" w:rsidRDefault="00AA60FC" w:rsidP="000C51C2">
            <w:pPr>
              <w:spacing w:after="40"/>
              <w:jc w:val="both"/>
              <w:rPr>
                <w:b/>
                <w:sz w:val="22"/>
                <w:szCs w:val="22"/>
              </w:rPr>
            </w:pPr>
            <w:r>
              <w:rPr>
                <w:b/>
                <w:sz w:val="22"/>
              </w:rPr>
              <w:t>За изчисляването на интензитета на помощта</w:t>
            </w:r>
          </w:p>
          <w:p w:rsidR="000E10AB" w:rsidRPr="009F530E" w:rsidRDefault="0083439D" w:rsidP="009F52DA">
            <w:pPr>
              <w:numPr>
                <w:ilvl w:val="0"/>
                <w:numId w:val="45"/>
              </w:numPr>
              <w:ind w:left="328" w:hanging="283"/>
              <w:jc w:val="both"/>
              <w:rPr>
                <w:sz w:val="22"/>
                <w:szCs w:val="22"/>
              </w:rPr>
            </w:pPr>
            <w:r>
              <w:rPr>
                <w:sz w:val="22"/>
              </w:rPr>
              <w:t>Данните се събират преди приспадането на данъци и други такси.</w:t>
            </w:r>
          </w:p>
          <w:p w:rsidR="000E10AB" w:rsidRPr="009F530E" w:rsidRDefault="000E10AB" w:rsidP="009F52DA">
            <w:pPr>
              <w:numPr>
                <w:ilvl w:val="0"/>
                <w:numId w:val="45"/>
              </w:numPr>
              <w:ind w:left="328" w:hanging="283"/>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0E10AB" w:rsidRPr="009F530E" w:rsidRDefault="000E10AB" w:rsidP="009F52DA">
            <w:pPr>
              <w:numPr>
                <w:ilvl w:val="0"/>
                <w:numId w:val="45"/>
              </w:numPr>
              <w:ind w:left="328" w:hanging="283"/>
              <w:jc w:val="both"/>
              <w:rPr>
                <w:sz w:val="22"/>
                <w:szCs w:val="22"/>
              </w:rPr>
            </w:pPr>
            <w:r>
              <w:rPr>
                <w:sz w:val="22"/>
              </w:rPr>
              <w:t>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w:t>
            </w:r>
          </w:p>
          <w:p w:rsidR="000E10AB" w:rsidRPr="009F530E" w:rsidRDefault="000E10AB" w:rsidP="009F52DA">
            <w:pPr>
              <w:numPr>
                <w:ilvl w:val="0"/>
                <w:numId w:val="45"/>
              </w:numPr>
              <w:ind w:left="328" w:hanging="283"/>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p>
          <w:p w:rsidR="00E60B67" w:rsidRPr="009F530E" w:rsidRDefault="007E0908" w:rsidP="00E60B67">
            <w:pPr>
              <w:numPr>
                <w:ilvl w:val="0"/>
                <w:numId w:val="46"/>
              </w:numPr>
              <w:autoSpaceDE w:val="0"/>
              <w:autoSpaceDN w:val="0"/>
              <w:adjustRightInd w:val="0"/>
              <w:jc w:val="both"/>
              <w:rPr>
                <w:sz w:val="22"/>
                <w:szCs w:val="22"/>
              </w:rPr>
            </w:pPr>
            <w:r>
              <w:rPr>
                <w:sz w:val="22"/>
              </w:rPr>
              <w:t>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0E10AB" w:rsidRPr="009F530E" w:rsidRDefault="000E10AB" w:rsidP="009F52DA">
            <w:pPr>
              <w:numPr>
                <w:ilvl w:val="0"/>
                <w:numId w:val="45"/>
              </w:numPr>
              <w:autoSpaceDE w:val="0"/>
              <w:autoSpaceDN w:val="0"/>
              <w:adjustRightInd w:val="0"/>
              <w:ind w:left="328" w:hanging="283"/>
              <w:jc w:val="both"/>
              <w:rPr>
                <w:sz w:val="22"/>
                <w:szCs w:val="22"/>
              </w:rPr>
            </w:pPr>
            <w:r>
              <w:rPr>
                <w:sz w:val="22"/>
              </w:rPr>
              <w:t>В случаите, в които регионалните помощи се предоставят под формата на възстановяеми аванси, максималните интензитети на помощта, определени в картата на регионалните помощи, която е в сила към момента на предоставяне на помощта, не могат да бъдат увеличавани.</w:t>
            </w:r>
          </w:p>
          <w:p w:rsidR="000E10AB" w:rsidRPr="009F530E" w:rsidRDefault="000E10AB" w:rsidP="00C93DBE">
            <w:pPr>
              <w:autoSpaceDE w:val="0"/>
              <w:autoSpaceDN w:val="0"/>
              <w:adjustRightInd w:val="0"/>
              <w:spacing w:after="40"/>
              <w:jc w:val="both"/>
              <w:rPr>
                <w:b/>
                <w:sz w:val="22"/>
                <w:szCs w:val="22"/>
              </w:rPr>
            </w:pPr>
            <w:r>
              <w:rPr>
                <w:b/>
                <w:sz w:val="22"/>
              </w:rPr>
              <w:lastRenderedPageBreak/>
              <w:t>Допустими разходи и документация</w:t>
            </w:r>
          </w:p>
          <w:p w:rsidR="000E10AB" w:rsidRPr="009F530E" w:rsidRDefault="000E10AB" w:rsidP="00C93DBE">
            <w:pPr>
              <w:numPr>
                <w:ilvl w:val="0"/>
                <w:numId w:val="46"/>
              </w:numPr>
              <w:autoSpaceDE w:val="0"/>
              <w:autoSpaceDN w:val="0"/>
              <w:adjustRightInd w:val="0"/>
              <w:jc w:val="both"/>
              <w:rPr>
                <w:sz w:val="22"/>
                <w:szCs w:val="22"/>
              </w:rPr>
            </w:pPr>
            <w:r>
              <w:rPr>
                <w:sz w:val="22"/>
              </w:rPr>
              <w:t xml:space="preserve">Допустими разходи, подкрепени с ясни, конкретни и актуални документи. </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shd w:val="clear" w:color="auto" w:fill="D9D9D9"/>
          </w:tcPr>
          <w:p w:rsidR="000E10AB" w:rsidRPr="009F530E" w:rsidRDefault="000E10AB" w:rsidP="000E10AB">
            <w:pPr>
              <w:jc w:val="both"/>
              <w:rPr>
                <w:b/>
                <w:sz w:val="22"/>
                <w:szCs w:val="22"/>
              </w:rPr>
            </w:pPr>
            <w:r>
              <w:rPr>
                <w:b/>
                <w:sz w:val="22"/>
              </w:rPr>
              <w:lastRenderedPageBreak/>
              <w:t>Член 8 — Натрупване</w:t>
            </w:r>
          </w:p>
        </w:tc>
        <w:tc>
          <w:tcPr>
            <w:tcW w:w="6946" w:type="dxa"/>
            <w:shd w:val="clear" w:color="auto" w:fill="auto"/>
          </w:tcPr>
          <w:p w:rsidR="000E10AB" w:rsidRPr="0017445D" w:rsidRDefault="000E10AB" w:rsidP="00867005"/>
        </w:tc>
      </w:tr>
      <w:tr w:rsidR="000E10AB" w:rsidRPr="0017445D" w:rsidTr="00793D63">
        <w:trPr>
          <w:trHeight w:val="271"/>
        </w:trPr>
        <w:tc>
          <w:tcPr>
            <w:tcW w:w="7666" w:type="dxa"/>
            <w:tcBorders>
              <w:bottom w:val="single" w:sz="4" w:space="0" w:color="auto"/>
            </w:tcBorders>
            <w:shd w:val="clear" w:color="auto" w:fill="auto"/>
          </w:tcPr>
          <w:p w:rsidR="000E10AB" w:rsidRPr="00387160" w:rsidRDefault="000E10AB" w:rsidP="00B46C58">
            <w:pPr>
              <w:numPr>
                <w:ilvl w:val="0"/>
                <w:numId w:val="47"/>
              </w:numPr>
              <w:jc w:val="both"/>
              <w:rPr>
                <w:sz w:val="22"/>
                <w:szCs w:val="22"/>
              </w:rPr>
            </w:pPr>
            <w:r w:rsidRPr="00387160">
              <w:rPr>
                <w:sz w:val="22"/>
                <w:szCs w:val="22"/>
              </w:rPr>
              <w:t xml:space="preserve">За праговете и максималните интензитети на помощта се взема предвид </w:t>
            </w:r>
            <w:r w:rsidRPr="00387160">
              <w:rPr>
                <w:b/>
                <w:sz w:val="22"/>
                <w:szCs w:val="22"/>
              </w:rPr>
              <w:t>общият размер</w:t>
            </w:r>
            <w:r w:rsidRPr="00387160">
              <w:rPr>
                <w:sz w:val="22"/>
                <w:szCs w:val="22"/>
              </w:rPr>
              <w:t xml:space="preserve"> на помощта (параграф 1). </w:t>
            </w:r>
          </w:p>
          <w:p w:rsidR="000E10AB" w:rsidRPr="00387160" w:rsidRDefault="000E10AB" w:rsidP="00B46C58">
            <w:pPr>
              <w:numPr>
                <w:ilvl w:val="0"/>
                <w:numId w:val="47"/>
              </w:numPr>
              <w:autoSpaceDE w:val="0"/>
              <w:autoSpaceDN w:val="0"/>
              <w:adjustRightInd w:val="0"/>
              <w:jc w:val="both"/>
              <w:rPr>
                <w:sz w:val="22"/>
                <w:szCs w:val="22"/>
              </w:rPr>
            </w:pPr>
            <w:r w:rsidRPr="00387160">
              <w:rPr>
                <w:b/>
                <w:sz w:val="22"/>
                <w:szCs w:val="22"/>
              </w:rPr>
              <w:t>Когато финансиране от Съюза</w:t>
            </w:r>
            <w:r w:rsidRPr="00387160">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0E10AB" w:rsidRPr="00387160" w:rsidRDefault="000E10AB" w:rsidP="00B46C58">
            <w:pPr>
              <w:numPr>
                <w:ilvl w:val="0"/>
                <w:numId w:val="47"/>
              </w:numPr>
              <w:jc w:val="both"/>
              <w:rPr>
                <w:sz w:val="22"/>
                <w:szCs w:val="22"/>
              </w:rPr>
            </w:pPr>
            <w:r w:rsidRPr="00387160">
              <w:rPr>
                <w:sz w:val="22"/>
                <w:szCs w:val="22"/>
              </w:rPr>
              <w:t xml:space="preserve">Освободените от задължението за уведомяване помощи могат да се натрупват с всякаква друга държавна помощ, ако </w:t>
            </w:r>
            <w:r w:rsidRPr="00387160">
              <w:rPr>
                <w:b/>
                <w:sz w:val="22"/>
                <w:szCs w:val="22"/>
              </w:rPr>
              <w:t>установимите разходи са различни</w:t>
            </w:r>
            <w:r w:rsidRPr="00387160">
              <w:rPr>
                <w:sz w:val="22"/>
                <w:szCs w:val="22"/>
              </w:rPr>
              <w:t xml:space="preserve"> (параграф 3, буква а).</w:t>
            </w:r>
          </w:p>
          <w:p w:rsidR="000E10AB" w:rsidRPr="00387160" w:rsidRDefault="000E10AB" w:rsidP="00B46C58">
            <w:pPr>
              <w:numPr>
                <w:ilvl w:val="0"/>
                <w:numId w:val="47"/>
              </w:numPr>
              <w:jc w:val="both"/>
              <w:rPr>
                <w:spacing w:val="-2"/>
                <w:sz w:val="22"/>
                <w:szCs w:val="22"/>
              </w:rPr>
            </w:pPr>
            <w:r w:rsidRPr="00387160">
              <w:rPr>
                <w:spacing w:val="-2"/>
                <w:sz w:val="22"/>
                <w:szCs w:val="22"/>
              </w:rPr>
              <w:t xml:space="preserve">Не се допуска натрупване на освободени от задължението за уведомяване помощи с никаква друга помощ във връзка със </w:t>
            </w:r>
            <w:r w:rsidRPr="00387160">
              <w:rPr>
                <w:b/>
                <w:spacing w:val="-2"/>
                <w:sz w:val="22"/>
                <w:szCs w:val="22"/>
              </w:rPr>
              <w:t>същите допустими разходи</w:t>
            </w:r>
            <w:r w:rsidRPr="00387160">
              <w:rPr>
                <w:spacing w:val="-2"/>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9F530E" w:rsidRDefault="000E10AB" w:rsidP="00EE12F9">
            <w:pPr>
              <w:numPr>
                <w:ilvl w:val="0"/>
                <w:numId w:val="47"/>
              </w:numPr>
              <w:spacing w:before="100" w:beforeAutospacing="1" w:after="150" w:line="260" w:lineRule="atLeast"/>
              <w:jc w:val="both"/>
              <w:rPr>
                <w:sz w:val="22"/>
                <w:szCs w:val="22"/>
              </w:rPr>
            </w:pPr>
            <w:r w:rsidRPr="00387160">
              <w:rPr>
                <w:sz w:val="22"/>
                <w:szCs w:val="22"/>
              </w:rPr>
              <w:t xml:space="preserve">Държавните помощи, освободени от задължението за уведомяване по силата на ОРГО, не могат да се натрупват с помощ </w:t>
            </w:r>
            <w:r w:rsidRPr="00387160">
              <w:rPr>
                <w:b/>
                <w:sz w:val="22"/>
                <w:szCs w:val="22"/>
              </w:rPr>
              <w:t>de</w:t>
            </w:r>
            <w:r w:rsidRPr="00387160">
              <w:rPr>
                <w:sz w:val="22"/>
                <w:szCs w:val="22"/>
              </w:rPr>
              <w:t xml:space="preserve"> </w:t>
            </w:r>
            <w:r w:rsidRPr="00387160">
              <w:rPr>
                <w:b/>
                <w:sz w:val="22"/>
                <w:szCs w:val="22"/>
              </w:rPr>
              <w:t>minimis</w:t>
            </w:r>
            <w:r w:rsidRPr="00387160">
              <w:rPr>
                <w:sz w:val="22"/>
                <w:szCs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w:t>
            </w:r>
          </w:p>
        </w:tc>
        <w:tc>
          <w:tcPr>
            <w:tcW w:w="6946" w:type="dxa"/>
            <w:shd w:val="clear" w:color="auto" w:fill="auto"/>
          </w:tcPr>
          <w:p w:rsidR="000E10AB" w:rsidRPr="0017445D" w:rsidRDefault="000E10AB" w:rsidP="00867005"/>
        </w:tc>
      </w:tr>
      <w:tr w:rsidR="00AB57BD" w:rsidRPr="002B692E" w:rsidTr="00793D63">
        <w:trPr>
          <w:trHeight w:val="271"/>
        </w:trPr>
        <w:tc>
          <w:tcPr>
            <w:tcW w:w="7666" w:type="dxa"/>
            <w:tcBorders>
              <w:top w:val="single" w:sz="4" w:space="0" w:color="auto"/>
              <w:left w:val="single" w:sz="4" w:space="0" w:color="auto"/>
              <w:bottom w:val="single" w:sz="4" w:space="0" w:color="auto"/>
              <w:right w:val="single" w:sz="4" w:space="0" w:color="auto"/>
            </w:tcBorders>
            <w:shd w:val="clear" w:color="auto" w:fill="D9D9D9"/>
          </w:tcPr>
          <w:p w:rsidR="00AB57BD" w:rsidRPr="002B692E" w:rsidRDefault="00AB57BD" w:rsidP="00AB57BD">
            <w:pPr>
              <w:tabs>
                <w:tab w:val="num" w:pos="360"/>
              </w:tabs>
              <w:ind w:left="360" w:hanging="360"/>
              <w:jc w:val="both"/>
              <w:rPr>
                <w:b/>
                <w:sz w:val="22"/>
                <w:szCs w:val="22"/>
              </w:rPr>
            </w:pPr>
            <w:r>
              <w:rPr>
                <w:b/>
                <w:sz w:val="22"/>
              </w:rPr>
              <w:t xml:space="preserve">Член 9 — Публикуване и информация </w:t>
            </w:r>
          </w:p>
        </w:tc>
        <w:tc>
          <w:tcPr>
            <w:tcW w:w="6946" w:type="dxa"/>
            <w:tcBorders>
              <w:top w:val="single" w:sz="4" w:space="0" w:color="auto"/>
              <w:left w:val="single" w:sz="4" w:space="0" w:color="auto"/>
              <w:bottom w:val="single" w:sz="4" w:space="0" w:color="auto"/>
              <w:right w:val="single" w:sz="4" w:space="0" w:color="auto"/>
            </w:tcBorders>
            <w:shd w:val="clear" w:color="auto" w:fill="D9D9D9"/>
          </w:tcPr>
          <w:p w:rsidR="00AB57BD" w:rsidRPr="00AB57BD" w:rsidRDefault="00AB57BD" w:rsidP="008F31DD"/>
        </w:tc>
      </w:tr>
      <w:tr w:rsidR="00AB57BD" w:rsidRPr="002B692E" w:rsidTr="00793D63">
        <w:trPr>
          <w:trHeight w:val="271"/>
        </w:trPr>
        <w:tc>
          <w:tcPr>
            <w:tcW w:w="7666" w:type="dxa"/>
            <w:tcBorders>
              <w:top w:val="single" w:sz="4" w:space="0" w:color="auto"/>
              <w:left w:val="single" w:sz="4" w:space="0" w:color="auto"/>
              <w:bottom w:val="single" w:sz="4" w:space="0" w:color="auto"/>
              <w:right w:val="single" w:sz="4" w:space="0" w:color="auto"/>
            </w:tcBorders>
            <w:shd w:val="clear" w:color="auto" w:fill="auto"/>
          </w:tcPr>
          <w:p w:rsidR="00AB57BD" w:rsidRPr="00F851C2" w:rsidRDefault="00AB57BD" w:rsidP="00AB57BD">
            <w:pPr>
              <w:numPr>
                <w:ilvl w:val="0"/>
                <w:numId w:val="71"/>
              </w:numPr>
              <w:autoSpaceDE w:val="0"/>
              <w:autoSpaceDN w:val="0"/>
              <w:adjustRightInd w:val="0"/>
              <w:ind w:left="328" w:hanging="328"/>
              <w:jc w:val="both"/>
              <w:rPr>
                <w:sz w:val="22"/>
                <w:szCs w:val="22"/>
              </w:rPr>
            </w:pPr>
            <w:r>
              <w:rPr>
                <w:sz w:val="22"/>
              </w:rPr>
              <w:t xml:space="preserve">Публикуване на подробен уебсайт за държавните помощи — на </w:t>
            </w:r>
            <w:r>
              <w:rPr>
                <w:sz w:val="22"/>
              </w:rPr>
              <w:lastRenderedPageBreak/>
              <w:t>национално или регионално равнище — на следното (параграф 1):</w:t>
            </w:r>
          </w:p>
          <w:p w:rsidR="00AB57BD" w:rsidRPr="00F851C2" w:rsidRDefault="00FB618F" w:rsidP="00FB618F">
            <w:pPr>
              <w:autoSpaceDE w:val="0"/>
              <w:autoSpaceDN w:val="0"/>
              <w:adjustRightInd w:val="0"/>
              <w:ind w:left="754" w:hanging="425"/>
              <w:jc w:val="both"/>
              <w:rPr>
                <w:sz w:val="22"/>
                <w:szCs w:val="22"/>
              </w:rPr>
            </w:pPr>
            <w:r>
              <w:rPr>
                <w:sz w:val="22"/>
              </w:rPr>
              <w:t>а.</w:t>
            </w:r>
            <w:r>
              <w:rPr>
                <w:sz w:val="22"/>
              </w:rPr>
              <w:tab/>
            </w:r>
            <w:r w:rsidR="00AB57BD">
              <w:rPr>
                <w:sz w:val="22"/>
              </w:rPr>
              <w:t>обобщената информация (вж. член 11) или връзка, която предоставя достъп до нея;</w:t>
            </w:r>
          </w:p>
          <w:p w:rsidR="00AB57BD" w:rsidRPr="00F851C2" w:rsidRDefault="00FB618F" w:rsidP="00FB618F">
            <w:pPr>
              <w:autoSpaceDE w:val="0"/>
              <w:autoSpaceDN w:val="0"/>
              <w:adjustRightInd w:val="0"/>
              <w:ind w:left="754" w:hanging="425"/>
              <w:jc w:val="both"/>
              <w:rPr>
                <w:sz w:val="22"/>
                <w:szCs w:val="22"/>
              </w:rPr>
            </w:pPr>
            <w:r>
              <w:rPr>
                <w:sz w:val="22"/>
              </w:rPr>
              <w:t>б.</w:t>
            </w:r>
            <w:r>
              <w:rPr>
                <w:sz w:val="22"/>
              </w:rPr>
              <w:tab/>
            </w:r>
            <w:r w:rsidR="00AB57BD">
              <w:rPr>
                <w:sz w:val="22"/>
              </w:rPr>
              <w:t>пълния текст на всяка мярка за помощ (вж. член 11) или връзка, която предоставя достъп до него;</w:t>
            </w:r>
          </w:p>
          <w:p w:rsidR="00AB57BD" w:rsidRPr="00F851C2" w:rsidRDefault="00FB618F" w:rsidP="00FB618F">
            <w:pPr>
              <w:autoSpaceDE w:val="0"/>
              <w:autoSpaceDN w:val="0"/>
              <w:adjustRightInd w:val="0"/>
              <w:ind w:left="754" w:hanging="425"/>
              <w:jc w:val="both"/>
              <w:rPr>
                <w:sz w:val="22"/>
                <w:szCs w:val="22"/>
              </w:rPr>
            </w:pPr>
            <w:r>
              <w:rPr>
                <w:sz w:val="22"/>
              </w:rPr>
              <w:t>в.</w:t>
            </w:r>
            <w:r>
              <w:rPr>
                <w:sz w:val="22"/>
              </w:rPr>
              <w:tab/>
            </w:r>
            <w:r w:rsidR="00AB57BD">
              <w:rPr>
                <w:sz w:val="22"/>
              </w:rPr>
              <w:t>информацията относно всяка предоставена индивидуална помощ, надхвърляща 500 000 евро (вж. приложение III).</w:t>
            </w:r>
          </w:p>
          <w:p w:rsidR="00AB57BD" w:rsidRPr="00F851C2" w:rsidRDefault="00AB57BD" w:rsidP="00AB57BD">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AB57BD" w:rsidRPr="00F851C2" w:rsidRDefault="00AB57BD" w:rsidP="00AB57BD">
            <w:pPr>
              <w:numPr>
                <w:ilvl w:val="0"/>
                <w:numId w:val="71"/>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AB57BD" w:rsidRPr="00F851C2" w:rsidRDefault="00AB57BD" w:rsidP="00AB57BD">
            <w:pPr>
              <w:numPr>
                <w:ilvl w:val="0"/>
                <w:numId w:val="73"/>
              </w:numPr>
              <w:autoSpaceDE w:val="0"/>
              <w:autoSpaceDN w:val="0"/>
              <w:adjustRightInd w:val="0"/>
              <w:jc w:val="both"/>
              <w:rPr>
                <w:sz w:val="22"/>
                <w:szCs w:val="22"/>
              </w:rPr>
            </w:pPr>
            <w:r>
              <w:rPr>
                <w:sz w:val="22"/>
              </w:rPr>
              <w:t>0,5—1;</w:t>
            </w:r>
          </w:p>
          <w:p w:rsidR="00AB57BD" w:rsidRPr="00F851C2" w:rsidRDefault="00AB57BD" w:rsidP="00AB57BD">
            <w:pPr>
              <w:numPr>
                <w:ilvl w:val="0"/>
                <w:numId w:val="73"/>
              </w:numPr>
              <w:autoSpaceDE w:val="0"/>
              <w:autoSpaceDN w:val="0"/>
              <w:adjustRightInd w:val="0"/>
              <w:jc w:val="both"/>
              <w:rPr>
                <w:sz w:val="22"/>
                <w:szCs w:val="22"/>
              </w:rPr>
            </w:pPr>
            <w:r>
              <w:rPr>
                <w:sz w:val="22"/>
              </w:rPr>
              <w:t>1—2;</w:t>
            </w:r>
          </w:p>
          <w:p w:rsidR="00AB57BD" w:rsidRPr="00F851C2" w:rsidRDefault="00AB57BD" w:rsidP="00AB57BD">
            <w:pPr>
              <w:numPr>
                <w:ilvl w:val="0"/>
                <w:numId w:val="73"/>
              </w:numPr>
              <w:autoSpaceDE w:val="0"/>
              <w:autoSpaceDN w:val="0"/>
              <w:adjustRightInd w:val="0"/>
              <w:jc w:val="both"/>
              <w:rPr>
                <w:sz w:val="22"/>
                <w:szCs w:val="22"/>
              </w:rPr>
            </w:pPr>
            <w:r>
              <w:rPr>
                <w:sz w:val="22"/>
              </w:rPr>
              <w:t>2—5;</w:t>
            </w:r>
          </w:p>
          <w:p w:rsidR="00AB57BD" w:rsidRPr="00F851C2" w:rsidRDefault="00AB57BD" w:rsidP="00AB57BD">
            <w:pPr>
              <w:numPr>
                <w:ilvl w:val="0"/>
                <w:numId w:val="73"/>
              </w:numPr>
              <w:autoSpaceDE w:val="0"/>
              <w:autoSpaceDN w:val="0"/>
              <w:adjustRightInd w:val="0"/>
              <w:jc w:val="both"/>
              <w:rPr>
                <w:sz w:val="22"/>
                <w:szCs w:val="22"/>
              </w:rPr>
            </w:pPr>
            <w:r>
              <w:rPr>
                <w:sz w:val="22"/>
              </w:rPr>
              <w:t>5—10;</w:t>
            </w:r>
          </w:p>
          <w:p w:rsidR="00AB57BD" w:rsidRPr="00F851C2" w:rsidRDefault="00AB57BD" w:rsidP="00AB57BD">
            <w:pPr>
              <w:numPr>
                <w:ilvl w:val="0"/>
                <w:numId w:val="73"/>
              </w:numPr>
              <w:autoSpaceDE w:val="0"/>
              <w:autoSpaceDN w:val="0"/>
              <w:adjustRightInd w:val="0"/>
              <w:jc w:val="both"/>
              <w:rPr>
                <w:sz w:val="22"/>
                <w:szCs w:val="22"/>
              </w:rPr>
            </w:pPr>
            <w:r>
              <w:rPr>
                <w:sz w:val="22"/>
              </w:rPr>
              <w:t>10—30; и</w:t>
            </w:r>
          </w:p>
          <w:p w:rsidR="00AB57BD" w:rsidRPr="00F851C2" w:rsidRDefault="00AB57BD" w:rsidP="00AB57BD">
            <w:pPr>
              <w:numPr>
                <w:ilvl w:val="0"/>
                <w:numId w:val="73"/>
              </w:numPr>
              <w:autoSpaceDE w:val="0"/>
              <w:autoSpaceDN w:val="0"/>
              <w:adjustRightInd w:val="0"/>
              <w:jc w:val="both"/>
              <w:rPr>
                <w:sz w:val="22"/>
                <w:szCs w:val="22"/>
              </w:rPr>
            </w:pPr>
            <w:r>
              <w:rPr>
                <w:sz w:val="22"/>
              </w:rPr>
              <w:t>30 и повече;</w:t>
            </w:r>
          </w:p>
          <w:p w:rsidR="00AB57BD" w:rsidRPr="00F851C2" w:rsidRDefault="00AB57BD" w:rsidP="00AB57BD">
            <w:pPr>
              <w:numPr>
                <w:ilvl w:val="0"/>
                <w:numId w:val="71"/>
              </w:numPr>
              <w:autoSpaceDE w:val="0"/>
              <w:autoSpaceDN w:val="0"/>
              <w:adjustRightInd w:val="0"/>
              <w:ind w:left="328" w:hanging="283"/>
              <w:jc w:val="both"/>
              <w:rPr>
                <w:sz w:val="22"/>
                <w:szCs w:val="22"/>
              </w:rPr>
            </w:pPr>
            <w:r>
              <w:rPr>
                <w:sz w:val="22"/>
              </w:rPr>
              <w:t xml:space="preserve">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w:t>
            </w:r>
            <w:r>
              <w:rPr>
                <w:sz w:val="22"/>
              </w:rPr>
              <w:lastRenderedPageBreak/>
              <w:t>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AB57BD" w:rsidRPr="00AB57BD" w:rsidRDefault="00AB57BD" w:rsidP="00AB57BD">
            <w:pPr>
              <w:numPr>
                <w:ilvl w:val="0"/>
                <w:numId w:val="71"/>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B57BD" w:rsidRPr="00AB57BD" w:rsidRDefault="00AB57BD" w:rsidP="008F31DD"/>
        </w:tc>
      </w:tr>
    </w:tbl>
    <w:p w:rsidR="00AB57BD" w:rsidRDefault="00AB57BD" w:rsidP="007D461F">
      <w:pPr>
        <w:rPr>
          <w:b/>
        </w:rPr>
      </w:pPr>
    </w:p>
    <w:p w:rsidR="007D461F" w:rsidRDefault="007D461F" w:rsidP="007D461F">
      <w:r>
        <w:rPr>
          <w:b/>
        </w:rPr>
        <w:t>За определенията на понятията</w:t>
      </w:r>
      <w:r>
        <w:t>: член 2 (да се обърне внимание на новото определение на предприятие в затруднено положение).</w:t>
      </w:r>
    </w:p>
    <w:p w:rsidR="00D64EFF" w:rsidRDefault="00D64EFF" w:rsidP="007D461F"/>
    <w:p w:rsidR="007D461F" w:rsidRDefault="00AB57BD" w:rsidP="007D461F">
      <w:r>
        <w:rPr>
          <w:b/>
        </w:rPr>
        <w:t>Докладване</w:t>
      </w:r>
      <w:r>
        <w:t>: член 11.</w:t>
      </w:r>
    </w:p>
    <w:p w:rsidR="007D461F" w:rsidRPr="0017445D" w:rsidRDefault="007D461F" w:rsidP="007D461F">
      <w:r>
        <w:rPr>
          <w:b/>
        </w:rPr>
        <w:t>Контрол:</w:t>
      </w:r>
      <w:r>
        <w:t xml:space="preserve"> член 12.</w:t>
      </w:r>
    </w:p>
    <w:p w:rsidR="007D461F" w:rsidRDefault="00DD57E1">
      <w:r>
        <w:rPr>
          <w:b/>
        </w:rPr>
        <w:t>Отмяна на груповото освобождаване</w:t>
      </w:r>
      <w:r>
        <w:t>: член 10.</w:t>
      </w:r>
    </w:p>
    <w:p w:rsidR="00003D17" w:rsidRPr="00404CBC" w:rsidRDefault="00003D17" w:rsidP="00003D17">
      <w:pPr>
        <w:jc w:val="center"/>
        <w:rPr>
          <w:b/>
          <w:sz w:val="28"/>
          <w:szCs w:val="28"/>
          <w:u w:val="single"/>
        </w:rPr>
      </w:pPr>
      <w:r>
        <w:rPr>
          <w:b/>
          <w:sz w:val="28"/>
          <w:u w:val="single"/>
        </w:rPr>
        <w:t>Б. Специални условия за регионалните помощи</w:t>
      </w:r>
    </w:p>
    <w:p w:rsidR="00003D17" w:rsidRDefault="00003D17" w:rsidP="00003D17"/>
    <w:p w:rsidR="00003D17" w:rsidRPr="005C0EC9" w:rsidRDefault="00003D17" w:rsidP="00003D17">
      <w:pPr>
        <w:ind w:left="360"/>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8243DE" w:rsidTr="00895393">
        <w:trPr>
          <w:trHeight w:val="145"/>
        </w:trPr>
        <w:tc>
          <w:tcPr>
            <w:tcW w:w="2687" w:type="pct"/>
            <w:tcBorders>
              <w:bottom w:val="single" w:sz="4" w:space="0" w:color="auto"/>
            </w:tcBorders>
            <w:shd w:val="clear" w:color="auto" w:fill="333399"/>
          </w:tcPr>
          <w:p w:rsidR="00B82243" w:rsidRDefault="00B82243" w:rsidP="00D324A5">
            <w:pPr>
              <w:ind w:left="360"/>
              <w:jc w:val="center"/>
              <w:rPr>
                <w:b/>
                <w:smallCaps/>
                <w:color w:val="FFFFFF"/>
                <w:sz w:val="28"/>
                <w:szCs w:val="28"/>
              </w:rPr>
            </w:pPr>
            <w:r>
              <w:rPr>
                <w:b/>
                <w:smallCaps/>
                <w:color w:val="FFFFFF"/>
                <w:sz w:val="28"/>
              </w:rPr>
              <w:t>Член 14</w:t>
            </w:r>
          </w:p>
          <w:p w:rsidR="00BB080C" w:rsidRPr="008243DE" w:rsidRDefault="00BB080C" w:rsidP="00D324A5">
            <w:pPr>
              <w:ind w:left="360"/>
              <w:jc w:val="center"/>
              <w:rPr>
                <w:b/>
                <w:smallCaps/>
                <w:color w:val="FFFFFF"/>
                <w:sz w:val="28"/>
                <w:szCs w:val="28"/>
              </w:rPr>
            </w:pPr>
            <w:r>
              <w:rPr>
                <w:b/>
                <w:smallCaps/>
                <w:color w:val="FFFFFF"/>
                <w:sz w:val="28"/>
              </w:rPr>
              <w:t>Регионални инвестиционни помощи</w:t>
            </w:r>
          </w:p>
        </w:tc>
        <w:tc>
          <w:tcPr>
            <w:tcW w:w="2313" w:type="pct"/>
            <w:shd w:val="clear" w:color="auto" w:fill="333399"/>
          </w:tcPr>
          <w:p w:rsidR="00BB080C" w:rsidRPr="008243DE" w:rsidRDefault="00BB080C" w:rsidP="00D324A5">
            <w:pPr>
              <w:jc w:val="center"/>
              <w:rPr>
                <w:b/>
                <w:smallCaps/>
                <w:color w:val="FFFFFF"/>
                <w:sz w:val="28"/>
                <w:szCs w:val="28"/>
              </w:rPr>
            </w:pPr>
            <w:r>
              <w:rPr>
                <w:b/>
                <w:smallCaps/>
                <w:color w:val="FFFFFF"/>
                <w:sz w:val="28"/>
              </w:rPr>
              <w:t>Проверка на съответствието (OK?)</w:t>
            </w:r>
          </w:p>
        </w:tc>
      </w:tr>
      <w:tr w:rsidR="00895393" w:rsidTr="00895393">
        <w:trPr>
          <w:trHeight w:val="850"/>
        </w:trPr>
        <w:tc>
          <w:tcPr>
            <w:tcW w:w="2687" w:type="pct"/>
            <w:shd w:val="clear" w:color="auto" w:fill="auto"/>
          </w:tcPr>
          <w:p w:rsidR="000C38DE" w:rsidRPr="00120E79" w:rsidRDefault="000C38DE" w:rsidP="000C38DE">
            <w:pPr>
              <w:numPr>
                <w:ilvl w:val="0"/>
                <w:numId w:val="16"/>
              </w:numPr>
              <w:autoSpaceDE w:val="0"/>
              <w:autoSpaceDN w:val="0"/>
              <w:adjustRightInd w:val="0"/>
              <w:jc w:val="both"/>
            </w:pPr>
            <w: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BB080C" w:rsidRPr="009F530E" w:rsidRDefault="00782E44" w:rsidP="000C38DE">
            <w:pPr>
              <w:numPr>
                <w:ilvl w:val="0"/>
                <w:numId w:val="16"/>
              </w:numPr>
              <w:rPr>
                <w:b/>
              </w:rPr>
            </w:pPr>
            <w:r>
              <w:rPr>
                <w:b/>
              </w:rPr>
              <w:t>Помощи, предоставени в подпомагани региони (параграф 2).</w:t>
            </w:r>
          </w:p>
          <w:p w:rsidR="000A19E8" w:rsidRDefault="00782E44" w:rsidP="000C38DE">
            <w:pPr>
              <w:numPr>
                <w:ilvl w:val="0"/>
                <w:numId w:val="16"/>
              </w:numPr>
            </w:pPr>
            <w:r>
              <w:rPr>
                <w:b/>
              </w:rPr>
              <w:t xml:space="preserve">Първоначални инвестиции </w:t>
            </w:r>
            <w:r>
              <w:t>в региони съгласно член 107, параграф 3, буква а) независимо от размера на бенефициера: всяка форма на помощ за първоначални инвестиции от МСП в региони съгласно член 107, параграф 3, буква в); за големи предприятия: помощи единствено за първоначална инвестиция, облагодетелстваща нова стопанска дейност (параграф 3).</w:t>
            </w:r>
          </w:p>
          <w:p w:rsidR="00981AB9" w:rsidRPr="009F530E" w:rsidRDefault="00981AB9" w:rsidP="000C38DE">
            <w:pPr>
              <w:numPr>
                <w:ilvl w:val="0"/>
                <w:numId w:val="16"/>
              </w:numPr>
              <w:rPr>
                <w:b/>
              </w:rPr>
            </w:pPr>
            <w:r>
              <w:rPr>
                <w:b/>
              </w:rPr>
              <w:t>Допустими разходи (параграф 4)</w:t>
            </w:r>
          </w:p>
          <w:p w:rsidR="00BB080C" w:rsidRDefault="00BB080C" w:rsidP="009F530E">
            <w:pPr>
              <w:numPr>
                <w:ilvl w:val="0"/>
                <w:numId w:val="59"/>
              </w:numPr>
            </w:pPr>
            <w:r>
              <w:t xml:space="preserve">материални и нематериални активи;  </w:t>
            </w:r>
          </w:p>
          <w:p w:rsidR="00BB080C" w:rsidRDefault="00BB080C" w:rsidP="009F530E">
            <w:pPr>
              <w:numPr>
                <w:ilvl w:val="0"/>
                <w:numId w:val="59"/>
              </w:numPr>
            </w:pPr>
            <w:r>
              <w:lastRenderedPageBreak/>
              <w:t xml:space="preserve">разходи за заплати (в резултат от първоначална инвестиция), изчислени за период от две години; </w:t>
            </w:r>
          </w:p>
          <w:p w:rsidR="00BB080C" w:rsidRDefault="00BB080C" w:rsidP="009F530E">
            <w:pPr>
              <w:numPr>
                <w:ilvl w:val="0"/>
                <w:numId w:val="59"/>
              </w:numPr>
            </w:pPr>
            <w:r>
              <w:t>комбинация от разходите, посочени по-горе, ако комбинираната сума не надхвърля по-голямата от двете суми.</w:t>
            </w:r>
          </w:p>
          <w:p w:rsidR="00BB080C" w:rsidRDefault="00782E44" w:rsidP="000C38DE">
            <w:pPr>
              <w:numPr>
                <w:ilvl w:val="0"/>
                <w:numId w:val="16"/>
              </w:numPr>
            </w:pPr>
            <w:r>
              <w:rPr>
                <w:b/>
              </w:rPr>
              <w:t>Поддържане на инвестицията в региона най-малко</w:t>
            </w:r>
            <w:r>
              <w:t xml:space="preserve"> пет години; при МСП: най-малко три години (не възпрепятства замяната на остарели или повредени машини или съоръжения, ако стопанската дейност се запазва в региона) (параграф 5).</w:t>
            </w:r>
          </w:p>
          <w:p w:rsidR="00BB080C" w:rsidRDefault="00BB080C" w:rsidP="000C38DE">
            <w:pPr>
              <w:numPr>
                <w:ilvl w:val="0"/>
                <w:numId w:val="16"/>
              </w:numPr>
            </w:pPr>
            <w:r>
              <w:rPr>
                <w:b/>
              </w:rPr>
              <w:t>Придобитите активи са нови освен в случай на МСП</w:t>
            </w:r>
            <w:r>
              <w:t xml:space="preserve"> и когато става дума за придобиване на стопански обект (параграф 6).</w:t>
            </w:r>
          </w:p>
          <w:p w:rsidR="00BB080C" w:rsidRDefault="00BB080C" w:rsidP="000C38DE">
            <w:pPr>
              <w:numPr>
                <w:ilvl w:val="0"/>
                <w:numId w:val="16"/>
              </w:numPr>
            </w:pPr>
            <w:r>
              <w:rPr>
                <w:b/>
              </w:rPr>
              <w:t>Разходи за наемане на материални активи</w:t>
            </w:r>
            <w:r>
              <w:t xml:space="preserve"> (параграф 6) </w:t>
            </w:r>
          </w:p>
          <w:p w:rsidR="00BB080C" w:rsidRPr="000C51C2" w:rsidRDefault="00BB080C" w:rsidP="009F530E">
            <w:pPr>
              <w:numPr>
                <w:ilvl w:val="0"/>
                <w:numId w:val="60"/>
              </w:numPr>
              <w:autoSpaceDE w:val="0"/>
              <w:autoSpaceDN w:val="0"/>
              <w:adjustRightInd w:val="0"/>
              <w:jc w:val="both"/>
            </w:pPr>
            <w:r>
              <w:t xml:space="preserve">земя и сгради: продължава поне пет години (големи предприятия) или три години (МСП) след приключването на проекта; </w:t>
            </w:r>
          </w:p>
          <w:p w:rsidR="00BB080C" w:rsidRDefault="00BB080C" w:rsidP="009F530E">
            <w:pPr>
              <w:numPr>
                <w:ilvl w:val="0"/>
                <w:numId w:val="60"/>
              </w:numPr>
              <w:autoSpaceDE w:val="0"/>
              <w:autoSpaceDN w:val="0"/>
              <w:adjustRightInd w:val="0"/>
              <w:jc w:val="both"/>
            </w:pPr>
            <w:r>
              <w:t>съоръжения и машини: форма на финансов лизинг; бенефициерът е длъжен да закупи актива след изтичането на договора за лизинг;</w:t>
            </w:r>
          </w:p>
          <w:p w:rsidR="00BB080C" w:rsidRPr="000C51C2" w:rsidRDefault="00BB080C" w:rsidP="009F530E">
            <w:pPr>
              <w:numPr>
                <w:ilvl w:val="0"/>
                <w:numId w:val="60"/>
              </w:numPr>
              <w:autoSpaceDE w:val="0"/>
              <w:autoSpaceDN w:val="0"/>
              <w:adjustRightInd w:val="0"/>
              <w:jc w:val="both"/>
            </w:pPr>
            <w:r>
              <w:t>придобиване на активи при първоначална инвестиция: само разходите за закупуване от трети страни, които не са свързани с купувача, и при пазарни условия. Ако помощта е предоставена за активите преди тяхното закупуване, тези разходи се приспадат от допустимите разходи. Член на семейството на първоначалния собственик или служител поема малко предприятие: отпада условието за трети страни, които не са свързани с купувача. Придобиване на дялове: не е първоначална инвестиция.</w:t>
            </w:r>
          </w:p>
          <w:p w:rsidR="00782E44" w:rsidRDefault="00782E44" w:rsidP="000C38DE">
            <w:pPr>
              <w:numPr>
                <w:ilvl w:val="0"/>
                <w:numId w:val="16"/>
              </w:numPr>
              <w:autoSpaceDE w:val="0"/>
              <w:autoSpaceDN w:val="0"/>
              <w:adjustRightInd w:val="0"/>
            </w:pPr>
            <w:r>
              <w:rPr>
                <w:b/>
              </w:rPr>
              <w:t>Основна промяна в производствения процес</w:t>
            </w:r>
          </w:p>
          <w:p w:rsidR="00BB080C" w:rsidRPr="000C51C2" w:rsidRDefault="00BB080C" w:rsidP="009F530E">
            <w:pPr>
              <w:numPr>
                <w:ilvl w:val="0"/>
                <w:numId w:val="61"/>
              </w:numPr>
              <w:autoSpaceDE w:val="0"/>
              <w:autoSpaceDN w:val="0"/>
              <w:adjustRightInd w:val="0"/>
            </w:pPr>
            <w:r>
              <w:t xml:space="preserve">допустимите разходи трябва да надхвърлят амортизацията на активите през предходните три финансови години (параграф 7); </w:t>
            </w:r>
          </w:p>
          <w:p w:rsidR="00BB080C" w:rsidRDefault="00BB080C" w:rsidP="009F530E">
            <w:pPr>
              <w:numPr>
                <w:ilvl w:val="0"/>
                <w:numId w:val="61"/>
              </w:numPr>
              <w:autoSpaceDE w:val="0"/>
              <w:autoSpaceDN w:val="0"/>
              <w:adjustRightInd w:val="0"/>
            </w:pPr>
            <w:r>
              <w:t xml:space="preserve">диверсификация на съществуващ стопански обект: допустимите разходи трябва да надхвърлят с поне 200 % счетоводната стойност (финансовата година преди започването на работата) на активите, </w:t>
            </w:r>
            <w:r>
              <w:lastRenderedPageBreak/>
              <w:t>които се използват повторно (параграф 7).</w:t>
            </w:r>
          </w:p>
          <w:p w:rsidR="00BB080C" w:rsidRDefault="00BB080C" w:rsidP="000C38DE">
            <w:pPr>
              <w:numPr>
                <w:ilvl w:val="0"/>
                <w:numId w:val="16"/>
              </w:numPr>
              <w:autoSpaceDE w:val="0"/>
              <w:autoSpaceDN w:val="0"/>
              <w:adjustRightInd w:val="0"/>
            </w:pPr>
            <w:r>
              <w:rPr>
                <w:b/>
              </w:rPr>
              <w:t>Разходите за нематериални активи</w:t>
            </w:r>
            <w:r>
              <w:t xml:space="preserve"> са допустими, ако (параграф 8):</w:t>
            </w:r>
          </w:p>
          <w:p w:rsidR="00BB080C" w:rsidRDefault="00BB080C" w:rsidP="009F530E">
            <w:pPr>
              <w:numPr>
                <w:ilvl w:val="0"/>
                <w:numId w:val="62"/>
              </w:numPr>
              <w:autoSpaceDE w:val="0"/>
              <w:autoSpaceDN w:val="0"/>
              <w:adjustRightInd w:val="0"/>
            </w:pPr>
            <w:r>
              <w:t>са използвани единствено в стопанския обект, който получава помощта;</w:t>
            </w:r>
          </w:p>
          <w:p w:rsidR="00BB080C" w:rsidRDefault="00BB080C" w:rsidP="009F530E">
            <w:pPr>
              <w:numPr>
                <w:ilvl w:val="0"/>
                <w:numId w:val="62"/>
              </w:numPr>
              <w:autoSpaceDE w:val="0"/>
              <w:autoSpaceDN w:val="0"/>
              <w:adjustRightInd w:val="0"/>
            </w:pPr>
            <w:r>
              <w:t>са амортизируеми;</w:t>
            </w:r>
          </w:p>
          <w:p w:rsidR="00BB080C" w:rsidRDefault="00BB080C" w:rsidP="009F530E">
            <w:pPr>
              <w:numPr>
                <w:ilvl w:val="0"/>
                <w:numId w:val="62"/>
              </w:numPr>
              <w:autoSpaceDE w:val="0"/>
              <w:autoSpaceDN w:val="0"/>
              <w:adjustRightInd w:val="0"/>
            </w:pPr>
            <w:r>
              <w:t>са закупени при пазарни условия от трети страни, несвързани с купувача;</w:t>
            </w:r>
          </w:p>
          <w:p w:rsidR="00BB080C" w:rsidRDefault="00BB080C" w:rsidP="009F530E">
            <w:pPr>
              <w:numPr>
                <w:ilvl w:val="0"/>
                <w:numId w:val="62"/>
              </w:numPr>
              <w:autoSpaceDE w:val="0"/>
              <w:autoSpaceDN w:val="0"/>
              <w:adjustRightInd w:val="0"/>
            </w:pPr>
            <w:r>
              <w:t>са активи на бенефициера; са свързани с подпомагания проект за срок от минимум пет години (три години за МСП);</w:t>
            </w:r>
          </w:p>
          <w:p w:rsidR="00BB080C" w:rsidRDefault="00222F1C" w:rsidP="009F530E">
            <w:pPr>
              <w:numPr>
                <w:ilvl w:val="0"/>
                <w:numId w:val="62"/>
              </w:numPr>
              <w:autoSpaceDE w:val="0"/>
              <w:autoSpaceDN w:val="0"/>
              <w:adjustRightInd w:val="0"/>
            </w:pPr>
            <w:r>
              <w:t>за големи предприятия: до 50 % от общите допустими инвестиционни разходи за първоначалната инвестиция.</w:t>
            </w:r>
          </w:p>
          <w:p w:rsidR="00BB080C" w:rsidRPr="008F3609" w:rsidRDefault="00BB080C" w:rsidP="006250A2">
            <w:pPr>
              <w:numPr>
                <w:ilvl w:val="0"/>
                <w:numId w:val="16"/>
              </w:numPr>
              <w:autoSpaceDE w:val="0"/>
              <w:autoSpaceDN w:val="0"/>
              <w:adjustRightInd w:val="0"/>
            </w:pPr>
            <w:r>
              <w:rPr>
                <w:b/>
              </w:rPr>
              <w:t>Допустими разходи въз основа на планираните разходи за заплати</w:t>
            </w:r>
            <w:r>
              <w:t xml:space="preserve"> (параграф 9)</w:t>
            </w:r>
          </w:p>
          <w:p w:rsidR="00BB080C" w:rsidRPr="000C51C2" w:rsidRDefault="00BB080C" w:rsidP="009F530E">
            <w:pPr>
              <w:numPr>
                <w:ilvl w:val="0"/>
                <w:numId w:val="63"/>
              </w:numPr>
              <w:autoSpaceDE w:val="0"/>
              <w:autoSpaceDN w:val="0"/>
              <w:adjustRightInd w:val="0"/>
              <w:jc w:val="both"/>
            </w:pPr>
            <w:r>
              <w:t>инвестицията води до нетно увеличение на броя на служителите в сравнение с предходните 12 месеца (закритите работни места вече са приспаднати);</w:t>
            </w:r>
          </w:p>
          <w:p w:rsidR="00BB080C" w:rsidRPr="008F3609" w:rsidRDefault="00BB080C" w:rsidP="009F530E">
            <w:pPr>
              <w:numPr>
                <w:ilvl w:val="0"/>
                <w:numId w:val="63"/>
              </w:numPr>
              <w:autoSpaceDE w:val="0"/>
              <w:autoSpaceDN w:val="0"/>
              <w:adjustRightInd w:val="0"/>
              <w:jc w:val="both"/>
            </w:pPr>
            <w:r>
              <w:t>всяко работно място е заето в срок до три години от приключването на работата по проекта;</w:t>
            </w:r>
          </w:p>
          <w:p w:rsidR="00BB080C" w:rsidRDefault="00BB080C" w:rsidP="009F530E">
            <w:pPr>
              <w:numPr>
                <w:ilvl w:val="0"/>
                <w:numId w:val="63"/>
              </w:numPr>
              <w:autoSpaceDE w:val="0"/>
              <w:autoSpaceDN w:val="0"/>
              <w:adjustRightInd w:val="0"/>
              <w:jc w:val="both"/>
            </w:pPr>
            <w:r>
              <w:t>всяко създадено работно място се запазва в региона в продължение на най-малко пет години, откогато е заето за пръв път (три за МСП).</w:t>
            </w:r>
          </w:p>
          <w:p w:rsidR="00BB080C" w:rsidRPr="008F3609" w:rsidRDefault="00BB080C" w:rsidP="000C38DE">
            <w:pPr>
              <w:numPr>
                <w:ilvl w:val="0"/>
                <w:numId w:val="16"/>
              </w:numPr>
              <w:autoSpaceDE w:val="0"/>
              <w:autoSpaceDN w:val="0"/>
              <w:adjustRightInd w:val="0"/>
            </w:pPr>
            <w:r>
              <w:rPr>
                <w:b/>
              </w:rPr>
              <w:t>Развитие на широколентова мрежа</w:t>
            </w:r>
            <w:r>
              <w:t xml:space="preserve"> (параграф 10)</w:t>
            </w:r>
          </w:p>
          <w:p w:rsidR="00BB080C" w:rsidRPr="000C51C2" w:rsidRDefault="0070535F" w:rsidP="009F530E">
            <w:pPr>
              <w:numPr>
                <w:ilvl w:val="0"/>
                <w:numId w:val="65"/>
              </w:numPr>
              <w:autoSpaceDE w:val="0"/>
              <w:autoSpaceDN w:val="0"/>
              <w:adjustRightInd w:val="0"/>
              <w:jc w:val="both"/>
              <w:rPr>
                <w:szCs w:val="19"/>
              </w:rPr>
            </w:pPr>
            <w:r>
              <w:t>само в региони, в които няма мрежа от същата категория и не е вероятно такава мрежа да бъде развита по търговски начин в срок до три години след решението за предоставяне на помощта;</w:t>
            </w:r>
          </w:p>
          <w:p w:rsidR="006250A2" w:rsidRPr="000C51C2" w:rsidRDefault="00BB080C" w:rsidP="009F530E">
            <w:pPr>
              <w:numPr>
                <w:ilvl w:val="0"/>
                <w:numId w:val="65"/>
              </w:numPr>
              <w:autoSpaceDE w:val="0"/>
              <w:autoSpaceDN w:val="0"/>
              <w:adjustRightInd w:val="0"/>
              <w:jc w:val="both"/>
              <w:rPr>
                <w:szCs w:val="19"/>
              </w:rPr>
            </w:pPr>
            <w:r>
              <w:t>оператор на мрежа: предлага активен и пасивен достъп на едро; справедливи и недискриминационни условия, включително необвързан физически достъп в случай на мрежи за достъп от следващо поколение;</w:t>
            </w:r>
          </w:p>
          <w:p w:rsidR="00BB080C" w:rsidRPr="000C51C2" w:rsidRDefault="00BB080C" w:rsidP="009F530E">
            <w:pPr>
              <w:numPr>
                <w:ilvl w:val="0"/>
                <w:numId w:val="65"/>
              </w:numPr>
              <w:autoSpaceDE w:val="0"/>
              <w:autoSpaceDN w:val="0"/>
              <w:adjustRightInd w:val="0"/>
              <w:jc w:val="both"/>
            </w:pPr>
            <w:r>
              <w:lastRenderedPageBreak/>
              <w:t>помощи на основата на конкурентна процедура за подбор.</w:t>
            </w:r>
          </w:p>
          <w:p w:rsidR="00BB080C" w:rsidRDefault="006250A2" w:rsidP="000C38DE">
            <w:pPr>
              <w:numPr>
                <w:ilvl w:val="0"/>
                <w:numId w:val="16"/>
              </w:numPr>
              <w:autoSpaceDE w:val="0"/>
              <w:autoSpaceDN w:val="0"/>
              <w:adjustRightInd w:val="0"/>
              <w:jc w:val="both"/>
            </w:pPr>
            <w:r>
              <w:rPr>
                <w:b/>
              </w:rPr>
              <w:t>Научноизследователски инфраструктури:</w:t>
            </w:r>
            <w:r>
              <w:t xml:space="preserve"> прозрачен и недискриминационен достъп до инфраструктурата (параграф 11). </w:t>
            </w:r>
          </w:p>
          <w:p w:rsidR="00BB080C" w:rsidRDefault="006250A2" w:rsidP="000C38DE">
            <w:pPr>
              <w:numPr>
                <w:ilvl w:val="0"/>
                <w:numId w:val="16"/>
              </w:numPr>
              <w:autoSpaceDE w:val="0"/>
              <w:autoSpaceDN w:val="0"/>
              <w:adjustRightInd w:val="0"/>
              <w:jc w:val="both"/>
            </w:pPr>
            <w:r>
              <w:rPr>
                <w:b/>
              </w:rPr>
              <w:t>Интензитет на помощта:</w:t>
            </w:r>
            <w:r>
              <w:t xml:space="preserve"> не повече от максималния в картата на регионалните помощи към момента на предоставяне на помощта. Ако е комбинация от разходи за активи и разходи за заплати (параграф 4, буква в), интензитетът на помощта е не по-голям от най-благоприятния размер, получен от този интензитет въз основа на инвестиционните разходи или разходите за заплати. Големи инвестиционни проекти: размерът на помощта е не по-голям от размера на помощта в съответствие с член 2, точка 20 (параграф 12).</w:t>
            </w:r>
          </w:p>
          <w:p w:rsidR="00BB080C" w:rsidRPr="000C51C2" w:rsidRDefault="006250A2" w:rsidP="000C38DE">
            <w:pPr>
              <w:numPr>
                <w:ilvl w:val="0"/>
                <w:numId w:val="16"/>
              </w:numPr>
              <w:autoSpaceDE w:val="0"/>
              <w:autoSpaceDN w:val="0"/>
              <w:adjustRightInd w:val="0"/>
              <w:jc w:val="both"/>
            </w:pPr>
            <w:r>
              <w:rPr>
                <w:b/>
              </w:rPr>
              <w:t>Единен инвестиционен проект:</w:t>
            </w:r>
            <w:r>
              <w:t xml:space="preserve"> първоначална инвестиция по друга подпомогната инвестиция; един и същ бенефициер (на равнище група); три години, считано от датата на започване на работата в същия регион от ниво 3 по Общата класификация на териториалните единици за статистически цели — счита се за част от единен инвестиционен проект. Ако това е голям инвестиционен проект, общият размер на помощта не надхвърля коригирания размер на помощта за големи инвестиционни проекти (параграф 13).</w:t>
            </w:r>
          </w:p>
          <w:p w:rsidR="00BB080C" w:rsidRPr="000C51C2" w:rsidRDefault="00BB080C" w:rsidP="000C38DE">
            <w:pPr>
              <w:numPr>
                <w:ilvl w:val="0"/>
                <w:numId w:val="16"/>
              </w:numPr>
              <w:autoSpaceDE w:val="0"/>
              <w:autoSpaceDN w:val="0"/>
              <w:adjustRightInd w:val="0"/>
              <w:jc w:val="both"/>
            </w:pPr>
            <w:r>
              <w:rPr>
                <w:b/>
              </w:rPr>
              <w:t>Принос на бенефициера</w:t>
            </w:r>
            <w:r>
              <w:t xml:space="preserve"> </w:t>
            </w:r>
            <w:r>
              <w:rPr>
                <w:b/>
              </w:rPr>
              <w:t>най-малко</w:t>
            </w:r>
            <w:r>
              <w:t xml:space="preserve"> 25 % от допустимите разходи. При инвестиции на МСП в най-отдалечените региони интензитетът на помощта може да надхвърля 75 %. Остатъкът следва да бъде принос на бенефициера (параграф 14).</w:t>
            </w:r>
          </w:p>
          <w:p w:rsidR="00BB080C" w:rsidRPr="00F0671F" w:rsidRDefault="006250A2" w:rsidP="00B45E42">
            <w:pPr>
              <w:numPr>
                <w:ilvl w:val="0"/>
                <w:numId w:val="16"/>
              </w:numPr>
              <w:autoSpaceDE w:val="0"/>
              <w:autoSpaceDN w:val="0"/>
              <w:adjustRightInd w:val="0"/>
              <w:jc w:val="both"/>
            </w:pPr>
            <w:r>
              <w:rPr>
                <w:b/>
              </w:rPr>
              <w:t>Първоначални инвестиции, свързани с проекти по цел „Европейско териториално сътрудничество“</w:t>
            </w:r>
            <w:r>
              <w:t xml:space="preserve"> (Регламент № 1299/2013): интензитетът на помощта на региона, в който се намира първоначалната инвестиция, се прилага за всички бенефициери. Ако първоначалната инвестиция е в два или повече подпомагани региона, максималният интензитет на помощта е </w:t>
            </w:r>
            <w:r>
              <w:lastRenderedPageBreak/>
              <w:t>интензитетът, приложим в подпомагания регион, с най-високите допустими разходи. В региони съгласно член 107, параграф 3, буква в) тази разпоредба се прилага по отношение на големи предприятия само ако първоначалната инвестиция е свързана с нова стопанска дейност (параграф 15).</w:t>
            </w:r>
          </w:p>
        </w:tc>
        <w:tc>
          <w:tcPr>
            <w:tcW w:w="2313" w:type="pct"/>
            <w:shd w:val="clear" w:color="auto" w:fill="auto"/>
          </w:tcPr>
          <w:p w:rsidR="00BB080C" w:rsidRDefault="00BB080C" w:rsidP="00D324A5"/>
          <w:p w:rsidR="002779BE" w:rsidRDefault="002779BE" w:rsidP="00D324A5"/>
          <w:p w:rsidR="002779BE" w:rsidRDefault="002779BE" w:rsidP="00D324A5"/>
          <w:p w:rsidR="002779BE" w:rsidRDefault="002779BE" w:rsidP="00D324A5"/>
          <w:p w:rsidR="002779BE" w:rsidRDefault="002779BE" w:rsidP="00D324A5"/>
        </w:tc>
      </w:tr>
    </w:tbl>
    <w:p w:rsidR="00E002A5" w:rsidRDefault="00E002A5" w:rsidP="00003D17"/>
    <w:p w:rsidR="009F52DA" w:rsidRDefault="009F52DA" w:rsidP="00003D17">
      <w:pPr>
        <w:rPr>
          <w:b/>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Tr="00895393">
        <w:tc>
          <w:tcPr>
            <w:tcW w:w="2602" w:type="pct"/>
            <w:shd w:val="clear" w:color="auto" w:fill="333399"/>
          </w:tcPr>
          <w:p w:rsidR="00B82243" w:rsidRDefault="00B82243" w:rsidP="00B82243">
            <w:pPr>
              <w:ind w:left="360"/>
              <w:jc w:val="center"/>
              <w:rPr>
                <w:b/>
                <w:smallCaps/>
                <w:color w:val="FFFFFF"/>
                <w:sz w:val="28"/>
                <w:szCs w:val="28"/>
              </w:rPr>
            </w:pPr>
            <w:r>
              <w:rPr>
                <w:b/>
                <w:smallCaps/>
                <w:color w:val="FFFFFF"/>
                <w:sz w:val="28"/>
              </w:rPr>
              <w:t>Член 15</w:t>
            </w:r>
          </w:p>
          <w:p w:rsidR="00BB080C" w:rsidRDefault="00BB080C" w:rsidP="00B82243">
            <w:pPr>
              <w:ind w:left="360"/>
              <w:jc w:val="center"/>
            </w:pPr>
            <w:r>
              <w:rPr>
                <w:b/>
                <w:smallCaps/>
                <w:color w:val="FFFFFF"/>
                <w:sz w:val="28"/>
              </w:rPr>
              <w:t>Регионални оперативни помощи</w:t>
            </w:r>
          </w:p>
        </w:tc>
        <w:tc>
          <w:tcPr>
            <w:tcW w:w="2398" w:type="pct"/>
            <w:shd w:val="clear" w:color="auto" w:fill="333399"/>
          </w:tcPr>
          <w:p w:rsidR="00BB080C" w:rsidRDefault="00BB080C" w:rsidP="00D324A5">
            <w:pPr>
              <w:jc w:val="center"/>
            </w:pPr>
            <w:r>
              <w:rPr>
                <w:b/>
                <w:smallCaps/>
                <w:color w:val="FFFFFF"/>
                <w:sz w:val="28"/>
              </w:rPr>
              <w:t>Проверка на съответствието (OK?)</w:t>
            </w:r>
          </w:p>
        </w:tc>
      </w:tr>
      <w:tr w:rsidR="006250A2" w:rsidTr="00895393">
        <w:tc>
          <w:tcPr>
            <w:tcW w:w="2602" w:type="pct"/>
            <w:shd w:val="clear" w:color="auto" w:fill="auto"/>
          </w:tcPr>
          <w:p w:rsidR="006250A2" w:rsidRPr="006250A2" w:rsidRDefault="006250A2" w:rsidP="006250A2">
            <w: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98" w:type="pct"/>
            <w:shd w:val="clear" w:color="auto" w:fill="auto"/>
          </w:tcPr>
          <w:p w:rsidR="006250A2" w:rsidRDefault="006250A2" w:rsidP="00D324A5"/>
        </w:tc>
      </w:tr>
      <w:tr w:rsidR="006250A2" w:rsidRPr="009F530E" w:rsidTr="007B4054">
        <w:tc>
          <w:tcPr>
            <w:tcW w:w="5000" w:type="pct"/>
            <w:gridSpan w:val="2"/>
            <w:shd w:val="clear" w:color="auto" w:fill="BFBFBF"/>
          </w:tcPr>
          <w:p w:rsidR="006250A2" w:rsidRPr="009F530E" w:rsidRDefault="006250A2" w:rsidP="00D324A5">
            <w:pPr>
              <w:rPr>
                <w:b/>
              </w:rPr>
            </w:pPr>
            <w:r>
              <w:rPr>
                <w:b/>
              </w:rPr>
              <w:t>Допустими региони</w:t>
            </w:r>
          </w:p>
        </w:tc>
      </w:tr>
      <w:tr w:rsidR="006250A2" w:rsidTr="00895393">
        <w:tc>
          <w:tcPr>
            <w:tcW w:w="2602" w:type="pct"/>
            <w:shd w:val="clear" w:color="auto" w:fill="auto"/>
          </w:tcPr>
          <w:p w:rsidR="006250A2" w:rsidRPr="006250A2" w:rsidDel="006250A2" w:rsidRDefault="006250A2" w:rsidP="006250A2">
            <w:r>
              <w:rPr>
                <w:b/>
              </w:rPr>
              <w:t>Само най-отдалечените региони и слабонаселените региони</w:t>
            </w:r>
            <w:r>
              <w:t xml:space="preserve"> (съгласно картите на р</w:t>
            </w:r>
            <w:r w:rsidR="002C323D">
              <w:t>егионалните помощи за 2014—2020</w:t>
            </w:r>
            <w:r w:rsidR="002C323D">
              <w:rPr>
                <w:lang w:val="en-GB"/>
              </w:rPr>
              <w:t> </w:t>
            </w:r>
            <w:r>
              <w:t>г.) (параграф 1).</w:t>
            </w:r>
          </w:p>
        </w:tc>
        <w:tc>
          <w:tcPr>
            <w:tcW w:w="2398" w:type="pct"/>
            <w:shd w:val="clear" w:color="auto" w:fill="auto"/>
          </w:tcPr>
          <w:p w:rsidR="006250A2" w:rsidRDefault="006250A2" w:rsidP="00D324A5"/>
        </w:tc>
      </w:tr>
      <w:tr w:rsidR="006250A2" w:rsidRPr="009F530E" w:rsidTr="007B4054">
        <w:tc>
          <w:tcPr>
            <w:tcW w:w="5000" w:type="pct"/>
            <w:gridSpan w:val="2"/>
            <w:shd w:val="clear" w:color="auto" w:fill="BFBFBF"/>
          </w:tcPr>
          <w:p w:rsidR="006250A2" w:rsidRPr="009F530E" w:rsidRDefault="006250A2" w:rsidP="00D324A5">
            <w:pPr>
              <w:rPr>
                <w:b/>
              </w:rPr>
            </w:pPr>
            <w:r>
              <w:rPr>
                <w:b/>
              </w:rPr>
              <w:t>Допустими разходи</w:t>
            </w:r>
          </w:p>
        </w:tc>
      </w:tr>
      <w:tr w:rsidR="00BB080C" w:rsidTr="00895393">
        <w:tc>
          <w:tcPr>
            <w:tcW w:w="2602" w:type="pct"/>
            <w:shd w:val="clear" w:color="auto" w:fill="auto"/>
          </w:tcPr>
          <w:p w:rsidR="00BB080C" w:rsidRPr="009F530E" w:rsidRDefault="00BB080C" w:rsidP="000C51C2">
            <w:pPr>
              <w:rPr>
                <w:b/>
              </w:rPr>
            </w:pPr>
            <w:r>
              <w:rPr>
                <w:b/>
              </w:rPr>
              <w:t xml:space="preserve">Компенсират (параграф 2): </w:t>
            </w:r>
          </w:p>
          <w:p w:rsidR="00BB080C" w:rsidRDefault="00995704" w:rsidP="00995704">
            <w:pPr>
              <w:ind w:left="357" w:hanging="357"/>
            </w:pPr>
            <w:r w:rsidRPr="00995704">
              <w:t>а)</w:t>
            </w:r>
            <w:r w:rsidRPr="00995704">
              <w:tab/>
            </w:r>
            <w:r w:rsidR="00BB080C">
              <w:rPr>
                <w:b/>
              </w:rPr>
              <w:t>допълнителни разходи за транспорт</w:t>
            </w:r>
            <w:r w:rsidR="00BB080C">
              <w:t xml:space="preserve"> на стоки, произведени или допълнително преработени в допустимите региони:</w:t>
            </w:r>
          </w:p>
          <w:p w:rsidR="00BB080C" w:rsidRDefault="00995704" w:rsidP="00995704">
            <w:pPr>
              <w:ind w:left="714" w:hanging="357"/>
              <w:jc w:val="both"/>
            </w:pPr>
            <w:r>
              <w:rPr>
                <w:lang w:val="en-GB"/>
              </w:rPr>
              <w:t>i</w:t>
            </w:r>
            <w:r w:rsidRPr="00995704">
              <w:t>)</w:t>
            </w:r>
            <w:r w:rsidRPr="00995704">
              <w:tab/>
            </w:r>
            <w:r w:rsidR="00BB080C">
              <w:t>бенефициери с производствени дейности в тези региони;</w:t>
            </w:r>
          </w:p>
          <w:p w:rsidR="00BB080C" w:rsidRDefault="00995704" w:rsidP="00995704">
            <w:pPr>
              <w:ind w:left="714" w:hanging="357"/>
              <w:jc w:val="both"/>
            </w:pPr>
            <w:r>
              <w:rPr>
                <w:lang w:val="en-GB"/>
              </w:rPr>
              <w:t>ii</w:t>
            </w:r>
            <w:r w:rsidRPr="00995704">
              <w:t>)</w:t>
            </w:r>
            <w:r w:rsidRPr="00995704">
              <w:tab/>
            </w:r>
            <w:r w:rsidR="00BB080C">
              <w:t>помощта може предварително да бъде изразена количествено по обективен начин (напр. фиксирана сума/сума за тонкилометър);</w:t>
            </w:r>
          </w:p>
          <w:p w:rsidR="00BB080C" w:rsidRDefault="00995704" w:rsidP="00995704">
            <w:pPr>
              <w:autoSpaceDE w:val="0"/>
              <w:autoSpaceDN w:val="0"/>
              <w:adjustRightInd w:val="0"/>
              <w:ind w:left="714" w:hanging="357"/>
              <w:jc w:val="both"/>
            </w:pPr>
            <w:r>
              <w:rPr>
                <w:lang w:val="en-GB"/>
              </w:rPr>
              <w:t>iii</w:t>
            </w:r>
            <w:r w:rsidRPr="00995704">
              <w:t>)</w:t>
            </w:r>
            <w:r w:rsidRPr="00995704">
              <w:tab/>
            </w:r>
            <w:r w:rsidR="00BB080C">
              <w:t xml:space="preserve">най-ниските транспортни разходи в съответната държава членка (транспортните разходи извън държавата членка могат да бъдат включени само за най-отдалечените региони и за транспорт на стоки за допълнителна преработка); </w:t>
            </w:r>
          </w:p>
          <w:p w:rsidR="00BB080C" w:rsidRPr="000C51C2" w:rsidRDefault="00995704" w:rsidP="00995704">
            <w:pPr>
              <w:ind w:left="357" w:hanging="357"/>
            </w:pPr>
            <w:r w:rsidRPr="00995704">
              <w:t>б)</w:t>
            </w:r>
            <w:r w:rsidRPr="00995704">
              <w:tab/>
            </w:r>
            <w:r w:rsidR="00BB080C" w:rsidRPr="00995704">
              <w:rPr>
                <w:b/>
              </w:rPr>
              <w:t>допълнителни оперативни разходи</w:t>
            </w:r>
            <w:r w:rsidR="00BB080C">
              <w:t>, извършени в най-</w:t>
            </w:r>
            <w:r w:rsidR="00BB080C">
              <w:lastRenderedPageBreak/>
              <w:t>отдалечените региони като пряко следствие от едно или няколко от трайните неблагоприятни условия (член 349 от Договора) (параграф 3):</w:t>
            </w:r>
          </w:p>
          <w:p w:rsidR="00BB080C" w:rsidRPr="00B45E42" w:rsidRDefault="00995704" w:rsidP="00995704">
            <w:pPr>
              <w:ind w:left="714" w:hanging="357"/>
              <w:jc w:val="both"/>
            </w:pPr>
            <w:r>
              <w:rPr>
                <w:lang w:val="en-GB"/>
              </w:rPr>
              <w:t>i</w:t>
            </w:r>
            <w:r w:rsidRPr="00B45E42">
              <w:t>)</w:t>
            </w:r>
            <w:r w:rsidRPr="00B45E42">
              <w:tab/>
            </w:r>
            <w:r w:rsidR="00BB080C" w:rsidRPr="00B45E42">
              <w:t>стопанската дейност на бенефициерите е в региона;</w:t>
            </w:r>
          </w:p>
          <w:p w:rsidR="00BB080C" w:rsidRPr="000C51C2" w:rsidRDefault="00995704" w:rsidP="00995704">
            <w:pPr>
              <w:ind w:left="714" w:hanging="357"/>
              <w:jc w:val="both"/>
            </w:pPr>
            <w:r>
              <w:rPr>
                <w:lang w:val="en-GB"/>
              </w:rPr>
              <w:t>ii</w:t>
            </w:r>
            <w:r w:rsidRPr="00B45E42">
              <w:t>)</w:t>
            </w:r>
            <w:r w:rsidRPr="00B45E42">
              <w:tab/>
            </w:r>
            <w:r w:rsidR="00BB080C" w:rsidRPr="00B45E42">
              <w:t>годишният размер на помощта за всеки бенефициер по всички схеми за оперативна помощ не надхвърля:</w:t>
            </w:r>
          </w:p>
          <w:p w:rsidR="00BB080C" w:rsidRPr="000C51C2" w:rsidRDefault="00BB080C" w:rsidP="000C38DE">
            <w:pPr>
              <w:numPr>
                <w:ilvl w:val="1"/>
                <w:numId w:val="17"/>
              </w:numPr>
              <w:tabs>
                <w:tab w:val="clear" w:pos="1080"/>
                <w:tab w:val="num" w:pos="743"/>
              </w:tabs>
              <w:autoSpaceDE w:val="0"/>
              <w:autoSpaceDN w:val="0"/>
              <w:adjustRightInd w:val="0"/>
              <w:ind w:left="743" w:hanging="426"/>
            </w:pPr>
            <w:r>
              <w:t>15 % от годишната брутна добавена стойност, създадена от бенефициера в съответния най-отдалечен регион; или</w:t>
            </w:r>
          </w:p>
          <w:p w:rsidR="00BB080C" w:rsidRPr="000C51C2" w:rsidRDefault="00BB080C" w:rsidP="000C38DE">
            <w:pPr>
              <w:numPr>
                <w:ilvl w:val="1"/>
                <w:numId w:val="17"/>
              </w:numPr>
              <w:tabs>
                <w:tab w:val="clear" w:pos="1080"/>
                <w:tab w:val="num" w:pos="743"/>
              </w:tabs>
              <w:autoSpaceDE w:val="0"/>
              <w:autoSpaceDN w:val="0"/>
              <w:adjustRightInd w:val="0"/>
              <w:ind w:left="743" w:hanging="426"/>
            </w:pPr>
            <w:r>
              <w:t>25 % от годишните разходи за труд, извършени от бенефициера в съответния най-отдалечен регион; или</w:t>
            </w:r>
          </w:p>
          <w:p w:rsidR="006250A2" w:rsidRPr="000C51C2" w:rsidRDefault="00BB080C" w:rsidP="009F530E">
            <w:pPr>
              <w:autoSpaceDE w:val="0"/>
              <w:autoSpaceDN w:val="0"/>
              <w:adjustRightInd w:val="0"/>
              <w:ind w:left="743"/>
              <w:rPr>
                <w:rFonts w:ascii="EUAlbertina-Regu" w:hAnsi="EUAlbertina-Regu" w:cs="EUAlbertina-Regu"/>
                <w:sz w:val="19"/>
                <w:szCs w:val="19"/>
              </w:rPr>
            </w:pPr>
            <w:r>
              <w:t>10 % от годишния оборот на бенефициера, реализиран в съответния най-отдалечен регион.</w:t>
            </w:r>
          </w:p>
          <w:p w:rsidR="00BB080C" w:rsidRPr="003A1CEE" w:rsidRDefault="00BB080C" w:rsidP="009F530E">
            <w:pPr>
              <w:rPr>
                <w:sz w:val="20"/>
                <w:szCs w:val="20"/>
              </w:rPr>
            </w:pPr>
          </w:p>
        </w:tc>
        <w:tc>
          <w:tcPr>
            <w:tcW w:w="2398" w:type="pct"/>
            <w:shd w:val="clear" w:color="auto" w:fill="auto"/>
          </w:tcPr>
          <w:p w:rsidR="00BB080C" w:rsidRDefault="00BB080C" w:rsidP="00D324A5"/>
        </w:tc>
      </w:tr>
      <w:tr w:rsidR="006250A2" w:rsidTr="007B4054">
        <w:tc>
          <w:tcPr>
            <w:tcW w:w="5000" w:type="pct"/>
            <w:gridSpan w:val="2"/>
            <w:shd w:val="clear" w:color="auto" w:fill="BFBFBF"/>
          </w:tcPr>
          <w:p w:rsidR="006250A2" w:rsidRDefault="006250A2" w:rsidP="00D324A5">
            <w:r>
              <w:rPr>
                <w:b/>
              </w:rPr>
              <w:lastRenderedPageBreak/>
              <w:t>Интензитетът на помощта не е повече от 100 %</w:t>
            </w:r>
            <w:r>
              <w:t xml:space="preserve"> (параграф 3).</w:t>
            </w:r>
          </w:p>
        </w:tc>
      </w:tr>
    </w:tbl>
    <w:p w:rsidR="00E002A5" w:rsidRDefault="00E002A5" w:rsidP="00003D17">
      <w:pPr>
        <w:jc w:val="center"/>
      </w:pPr>
    </w:p>
    <w:p w:rsidR="00593387" w:rsidRDefault="00593387" w:rsidP="00E002A5"/>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Tr="00895393">
        <w:tc>
          <w:tcPr>
            <w:tcW w:w="2621" w:type="pct"/>
            <w:shd w:val="clear" w:color="auto" w:fill="333399"/>
          </w:tcPr>
          <w:p w:rsidR="00B82243" w:rsidRDefault="00B82243" w:rsidP="003E00A3">
            <w:pPr>
              <w:ind w:left="360"/>
              <w:jc w:val="center"/>
              <w:rPr>
                <w:b/>
                <w:smallCaps/>
                <w:color w:val="FFFFFF"/>
                <w:sz w:val="28"/>
                <w:szCs w:val="28"/>
              </w:rPr>
            </w:pPr>
            <w:r>
              <w:rPr>
                <w:b/>
                <w:smallCaps/>
                <w:color w:val="FFFFFF"/>
                <w:sz w:val="28"/>
              </w:rPr>
              <w:t>Член 16</w:t>
            </w:r>
          </w:p>
          <w:p w:rsidR="00BB080C" w:rsidRDefault="00BB080C" w:rsidP="00B82243">
            <w:pPr>
              <w:ind w:left="360"/>
              <w:jc w:val="center"/>
            </w:pPr>
            <w:r>
              <w:rPr>
                <w:b/>
                <w:smallCaps/>
                <w:color w:val="FFFFFF"/>
                <w:sz w:val="28"/>
              </w:rPr>
              <w:t>Регионални помощи за градско развитие</w:t>
            </w:r>
          </w:p>
        </w:tc>
        <w:tc>
          <w:tcPr>
            <w:tcW w:w="2379" w:type="pct"/>
            <w:shd w:val="clear" w:color="auto" w:fill="333399"/>
          </w:tcPr>
          <w:p w:rsidR="00BB080C" w:rsidRDefault="00BB080C" w:rsidP="003E00A3">
            <w:pPr>
              <w:jc w:val="center"/>
            </w:pPr>
            <w:r>
              <w:rPr>
                <w:b/>
                <w:smallCaps/>
                <w:color w:val="FFFFFF"/>
                <w:sz w:val="28"/>
              </w:rPr>
              <w:t>Проверка на съответствието (OK?)</w:t>
            </w:r>
          </w:p>
        </w:tc>
      </w:tr>
      <w:tr w:rsidR="00BB080C" w:rsidTr="00895393">
        <w:tc>
          <w:tcPr>
            <w:tcW w:w="2621" w:type="pct"/>
            <w:shd w:val="clear" w:color="auto" w:fill="auto"/>
          </w:tcPr>
          <w:p w:rsidR="000C38DE" w:rsidRDefault="000C38DE" w:rsidP="00B46C58">
            <w:pPr>
              <w:numPr>
                <w:ilvl w:val="0"/>
                <w:numId w:val="28"/>
              </w:numPr>
              <w:autoSpaceDE w:val="0"/>
              <w:autoSpaceDN w:val="0"/>
              <w:adjustRightInd w:val="0"/>
              <w:jc w:val="both"/>
            </w:pPr>
            <w: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BB080C" w:rsidRPr="009F530E" w:rsidRDefault="00BB080C" w:rsidP="00B46C58">
            <w:pPr>
              <w:numPr>
                <w:ilvl w:val="0"/>
                <w:numId w:val="28"/>
              </w:numPr>
              <w:autoSpaceDE w:val="0"/>
              <w:autoSpaceDN w:val="0"/>
              <w:adjustRightInd w:val="0"/>
              <w:jc w:val="both"/>
              <w:rPr>
                <w:b/>
              </w:rPr>
            </w:pPr>
            <w:r>
              <w:rPr>
                <w:b/>
              </w:rPr>
              <w:t>Критерии, които трябва да бъдат изпълнени за проектите за градско развитие (параграф 2):</w:t>
            </w:r>
          </w:p>
          <w:p w:rsidR="00BB080C" w:rsidRPr="000C51C2" w:rsidRDefault="00BB080C" w:rsidP="000D3B2D">
            <w:pPr>
              <w:numPr>
                <w:ilvl w:val="0"/>
                <w:numId w:val="32"/>
              </w:numPr>
              <w:autoSpaceDE w:val="0"/>
              <w:autoSpaceDN w:val="0"/>
              <w:adjustRightInd w:val="0"/>
              <w:ind w:left="918" w:hanging="459"/>
              <w:jc w:val="both"/>
            </w:pPr>
            <w:r>
              <w:t>изпълняват се посредством фондове за градско развитие в подпомагани региони;</w:t>
            </w:r>
          </w:p>
          <w:p w:rsidR="00BB080C" w:rsidRPr="000C51C2" w:rsidRDefault="00BB080C" w:rsidP="000D3B2D">
            <w:pPr>
              <w:numPr>
                <w:ilvl w:val="0"/>
                <w:numId w:val="32"/>
              </w:numPr>
              <w:autoSpaceDE w:val="0"/>
              <w:autoSpaceDN w:val="0"/>
              <w:adjustRightInd w:val="0"/>
              <w:ind w:left="918" w:hanging="459"/>
              <w:jc w:val="both"/>
            </w:pPr>
            <w:r>
              <w:t>съфинансирани са от европейските структурни и инвестиционни фондове;</w:t>
            </w:r>
          </w:p>
          <w:p w:rsidR="00BB080C" w:rsidRPr="000C51C2" w:rsidRDefault="00BB080C" w:rsidP="000D3B2D">
            <w:pPr>
              <w:numPr>
                <w:ilvl w:val="0"/>
                <w:numId w:val="32"/>
              </w:numPr>
              <w:autoSpaceDE w:val="0"/>
              <w:autoSpaceDN w:val="0"/>
              <w:adjustRightInd w:val="0"/>
              <w:ind w:left="918" w:hanging="459"/>
              <w:jc w:val="both"/>
            </w:pPr>
            <w:r>
              <w:t>подкрепят „интегрирана стратегия за устойчиво градско развитие“.</w:t>
            </w:r>
          </w:p>
          <w:p w:rsidR="00BB080C" w:rsidRPr="000C51C2" w:rsidRDefault="00BB080C" w:rsidP="00B46C58">
            <w:pPr>
              <w:numPr>
                <w:ilvl w:val="0"/>
                <w:numId w:val="33"/>
              </w:numPr>
              <w:autoSpaceDE w:val="0"/>
              <w:autoSpaceDN w:val="0"/>
              <w:adjustRightInd w:val="0"/>
              <w:jc w:val="both"/>
            </w:pPr>
            <w:r>
              <w:rPr>
                <w:b/>
              </w:rPr>
              <w:lastRenderedPageBreak/>
              <w:t xml:space="preserve">Общата инвестиция не надхвърля </w:t>
            </w:r>
            <w:r>
              <w:t>20 милиона евро (параграф 3).</w:t>
            </w:r>
          </w:p>
          <w:p w:rsidR="00BB080C" w:rsidRPr="000C51C2" w:rsidRDefault="00BB080C" w:rsidP="00B46C58">
            <w:pPr>
              <w:numPr>
                <w:ilvl w:val="0"/>
                <w:numId w:val="33"/>
              </w:numPr>
              <w:autoSpaceDE w:val="0"/>
              <w:autoSpaceDN w:val="0"/>
              <w:adjustRightInd w:val="0"/>
              <w:jc w:val="both"/>
            </w:pPr>
            <w:r>
              <w:rPr>
                <w:b/>
              </w:rPr>
              <w:t>Разходите са допустими, ако са в съответствие</w:t>
            </w:r>
            <w:r>
              <w:t xml:space="preserve"> с членове 65 и 37 от Регламент (ЕС) № 1303/2013 (параграф 4).</w:t>
            </w:r>
          </w:p>
          <w:p w:rsidR="00BB080C" w:rsidRPr="000C51C2" w:rsidRDefault="00BB080C" w:rsidP="00B46C58">
            <w:pPr>
              <w:numPr>
                <w:ilvl w:val="0"/>
                <w:numId w:val="33"/>
              </w:numPr>
              <w:autoSpaceDE w:val="0"/>
              <w:autoSpaceDN w:val="0"/>
              <w:adjustRightInd w:val="0"/>
              <w:jc w:val="both"/>
            </w:pPr>
            <w:r>
              <w:rPr>
                <w:b/>
              </w:rPr>
              <w:t>Форма на помощта</w:t>
            </w:r>
            <w:r>
              <w:t>: капитал, квазикапиталово участие, заеми, гаранции или комбинация от тях (параграф 5).</w:t>
            </w:r>
          </w:p>
          <w:p w:rsidR="00BB080C" w:rsidRPr="000C51C2" w:rsidRDefault="00BB080C" w:rsidP="00B46C58">
            <w:pPr>
              <w:numPr>
                <w:ilvl w:val="0"/>
                <w:numId w:val="33"/>
              </w:numPr>
              <w:autoSpaceDE w:val="0"/>
              <w:autoSpaceDN w:val="0"/>
              <w:adjustRightInd w:val="0"/>
              <w:jc w:val="both"/>
            </w:pPr>
            <w:r>
              <w:rPr>
                <w:b/>
              </w:rPr>
              <w:t>Привличане на допълнителни инвестиции от частни</w:t>
            </w:r>
            <w:r>
              <w:t xml:space="preserve"> инвеститори: фондове или проект; най-малко 30 % от цялото финансиране, предоставено за проекта за градско развитие (параграф 6).</w:t>
            </w:r>
          </w:p>
          <w:p w:rsidR="00BB080C" w:rsidRPr="000C51C2" w:rsidRDefault="00B70C80" w:rsidP="009F530E">
            <w:pPr>
              <w:numPr>
                <w:ilvl w:val="0"/>
                <w:numId w:val="33"/>
              </w:numPr>
              <w:autoSpaceDE w:val="0"/>
              <w:autoSpaceDN w:val="0"/>
              <w:adjustRightInd w:val="0"/>
              <w:jc w:val="both"/>
            </w:pPr>
            <w:r>
              <w:rPr>
                <w:b/>
              </w:rPr>
              <w:t>Инвеститори:</w:t>
            </w:r>
            <w:r>
              <w:t xml:space="preserve"> парични средства, вноски в натура (по пазарна стойност) или комбинация от тях (параграф 7).</w:t>
            </w:r>
          </w:p>
          <w:p w:rsidR="00BB080C" w:rsidRPr="000C51C2" w:rsidRDefault="00BB080C" w:rsidP="00B46C58">
            <w:pPr>
              <w:numPr>
                <w:ilvl w:val="0"/>
                <w:numId w:val="34"/>
              </w:numPr>
              <w:autoSpaceDE w:val="0"/>
              <w:autoSpaceDN w:val="0"/>
              <w:adjustRightInd w:val="0"/>
              <w:jc w:val="both"/>
            </w:pPr>
            <w:r>
              <w:rPr>
                <w:b/>
              </w:rPr>
              <w:t>Условия за мерките за градско развитие</w:t>
            </w:r>
            <w:r>
              <w:t xml:space="preserve"> (параграф 8):</w:t>
            </w:r>
          </w:p>
          <w:p w:rsidR="00BB080C" w:rsidRPr="000C51C2" w:rsidRDefault="0009698A" w:rsidP="0009698A">
            <w:pPr>
              <w:autoSpaceDE w:val="0"/>
              <w:autoSpaceDN w:val="0"/>
              <w:adjustRightInd w:val="0"/>
              <w:ind w:left="1077" w:hanging="357"/>
              <w:jc w:val="both"/>
            </w:pPr>
            <w:r>
              <w:t>а)</w:t>
            </w:r>
            <w:r>
              <w:tab/>
            </w:r>
            <w:r w:rsidR="00BB080C">
              <w:t>управители на фондове: открита, прозрачна и недискриминационна процедура; без дискриминация въз основа на мястото на установяване или регистриране; може да се предвиди изискване да отговарят на предварително определени критерии;</w:t>
            </w:r>
          </w:p>
          <w:p w:rsidR="00BB080C" w:rsidRPr="000C51C2" w:rsidRDefault="0009698A" w:rsidP="0009698A">
            <w:pPr>
              <w:autoSpaceDE w:val="0"/>
              <w:autoSpaceDN w:val="0"/>
              <w:adjustRightInd w:val="0"/>
              <w:ind w:left="1077" w:hanging="357"/>
              <w:jc w:val="both"/>
            </w:pPr>
            <w:r>
              <w:t>б)</w:t>
            </w:r>
            <w:r>
              <w:tab/>
            </w:r>
            <w:r w:rsidR="00BB080C">
              <w:t>независими частни инвеститори: открита, прозрачна и недискриминационна процедура; установени подходящи механизми за споделяне на рисковете и ползите; предпочитане на асиметричното разпределение на печалбата пред защитата срещу рисковете от загуби. В противен случай справедливият процент на възвръщаемост се определя от избран независим експерт (открита, прозрачна и недискриминационна процедура);</w:t>
            </w:r>
          </w:p>
          <w:p w:rsidR="00BB080C" w:rsidRPr="000C51C2" w:rsidRDefault="0009698A" w:rsidP="0009698A">
            <w:pPr>
              <w:autoSpaceDE w:val="0"/>
              <w:autoSpaceDN w:val="0"/>
              <w:adjustRightInd w:val="0"/>
              <w:ind w:left="1077" w:hanging="357"/>
              <w:jc w:val="both"/>
            </w:pPr>
            <w:r>
              <w:t>в)</w:t>
            </w:r>
            <w:r>
              <w:tab/>
            </w:r>
            <w:r w:rsidR="00557283">
              <w:t>ако има асиметрично разпределяне на загубата: първата загуба, поета от публичния инвеститор, е ограничена до 25 % от общия размер на инвестицията;</w:t>
            </w:r>
          </w:p>
          <w:p w:rsidR="00BB080C" w:rsidRPr="000C51C2" w:rsidRDefault="0009698A" w:rsidP="0009698A">
            <w:pPr>
              <w:autoSpaceDE w:val="0"/>
              <w:autoSpaceDN w:val="0"/>
              <w:adjustRightInd w:val="0"/>
              <w:ind w:left="1077" w:hanging="357"/>
              <w:jc w:val="both"/>
            </w:pPr>
            <w:r>
              <w:t>г)</w:t>
            </w:r>
            <w:r>
              <w:tab/>
            </w:r>
            <w:r w:rsidR="00BB080C">
              <w:t xml:space="preserve">размерът на гаранцията в полза на частни инвеститори, </w:t>
            </w:r>
            <w:r w:rsidR="00BB080C">
              <w:lastRenderedPageBreak/>
              <w:t xml:space="preserve">участващи в проекти за градско развитие, е ограничен до 80 %; общите загуби, поети от съответната държава членка, са ограничени до 25 % от съответния гарантиран портфейл; </w:t>
            </w:r>
          </w:p>
          <w:p w:rsidR="00BB080C" w:rsidRPr="000C51C2" w:rsidRDefault="0009698A" w:rsidP="0009698A">
            <w:pPr>
              <w:autoSpaceDE w:val="0"/>
              <w:autoSpaceDN w:val="0"/>
              <w:adjustRightInd w:val="0"/>
              <w:ind w:left="1077" w:hanging="357"/>
              <w:jc w:val="both"/>
            </w:pPr>
            <w:r>
              <w:t>д)</w:t>
            </w:r>
            <w:r>
              <w:tab/>
            </w:r>
            <w:r w:rsidR="00BB080C">
              <w:t>инвеститорите имат право да бъдат представени в управленските органи на фонда за градско развитие;</w:t>
            </w:r>
          </w:p>
          <w:p w:rsidR="00BB080C" w:rsidRPr="000C51C2" w:rsidRDefault="0009698A" w:rsidP="0009698A">
            <w:pPr>
              <w:autoSpaceDE w:val="0"/>
              <w:autoSpaceDN w:val="0"/>
              <w:adjustRightInd w:val="0"/>
              <w:ind w:left="1077" w:hanging="357"/>
              <w:jc w:val="both"/>
            </w:pPr>
            <w:r>
              <w:t>е)</w:t>
            </w:r>
            <w:r>
              <w:tab/>
            </w:r>
            <w:r w:rsidR="00BB080C">
              <w:t>фондът за градско развитие се учредява съгласно приложимите закони; финансов и правен анализ, гарантиращ стабилна от търговска гледна точка инвестиционна стратегия за изпълнение.</w:t>
            </w:r>
          </w:p>
          <w:p w:rsidR="00BB080C" w:rsidRPr="000C51C2" w:rsidRDefault="00BB080C" w:rsidP="00B46C58">
            <w:pPr>
              <w:numPr>
                <w:ilvl w:val="0"/>
                <w:numId w:val="34"/>
              </w:numPr>
              <w:autoSpaceDE w:val="0"/>
              <w:autoSpaceDN w:val="0"/>
              <w:adjustRightInd w:val="0"/>
              <w:jc w:val="both"/>
            </w:pPr>
            <w:r>
              <w:rPr>
                <w:b/>
              </w:rPr>
              <w:t xml:space="preserve">Фондовете за градско развитие се управляват на търговски принцип: </w:t>
            </w:r>
            <w:r>
              <w:t>гарантират, че решенията за финансиране се вземат с цел постигане на печалба. Такъв е случаят, когато (параграф 9):</w:t>
            </w:r>
          </w:p>
          <w:p w:rsidR="00BB080C" w:rsidRPr="000C51C2" w:rsidRDefault="007C5437" w:rsidP="007C5437">
            <w:pPr>
              <w:autoSpaceDE w:val="0"/>
              <w:autoSpaceDN w:val="0"/>
              <w:adjustRightInd w:val="0"/>
              <w:ind w:left="714" w:hanging="357"/>
              <w:jc w:val="both"/>
            </w:pPr>
            <w:r>
              <w:t>а)</w:t>
            </w:r>
            <w:r>
              <w:tab/>
            </w:r>
            <w:r w:rsidR="00BB080C">
              <w:t>управителите са задължени по силата на закон или договор да действат с професионализъм; без конфликти на интереси; най-добри практики и регулаторен контрол;</w:t>
            </w:r>
          </w:p>
          <w:p w:rsidR="00BB080C" w:rsidRPr="000C51C2" w:rsidRDefault="007C5437" w:rsidP="007C5437">
            <w:pPr>
              <w:autoSpaceDE w:val="0"/>
              <w:autoSpaceDN w:val="0"/>
              <w:adjustRightInd w:val="0"/>
              <w:ind w:left="714" w:hanging="357"/>
              <w:jc w:val="both"/>
            </w:pPr>
            <w:r>
              <w:t>б)</w:t>
            </w:r>
            <w:r>
              <w:tab/>
            </w:r>
            <w:r w:rsidR="007B6E14">
              <w:t>възнаграждението на управителите съответства на пазарните практики;  избор чрез открита, прозрачна и недискриминационна процедура; обективни критерии за подбор;</w:t>
            </w:r>
          </w:p>
          <w:p w:rsidR="00BB080C" w:rsidRPr="000C51C2" w:rsidRDefault="007C5437" w:rsidP="007C5437">
            <w:pPr>
              <w:autoSpaceDE w:val="0"/>
              <w:autoSpaceDN w:val="0"/>
              <w:adjustRightInd w:val="0"/>
              <w:ind w:left="714" w:hanging="357"/>
              <w:jc w:val="both"/>
            </w:pPr>
            <w:r>
              <w:t>в)</w:t>
            </w:r>
            <w:r>
              <w:tab/>
            </w:r>
            <w:r w:rsidR="003A70AE">
              <w:t xml:space="preserve">възнаграждението на управителите е обвързано с постигнатите резултати или те съинвестират; </w:t>
            </w:r>
          </w:p>
          <w:p w:rsidR="00BB080C" w:rsidRPr="000C51C2" w:rsidRDefault="007C5437" w:rsidP="007C5437">
            <w:pPr>
              <w:autoSpaceDE w:val="0"/>
              <w:autoSpaceDN w:val="0"/>
              <w:adjustRightInd w:val="0"/>
              <w:ind w:left="714" w:hanging="357"/>
              <w:jc w:val="both"/>
            </w:pPr>
            <w:r>
              <w:t>г)</w:t>
            </w:r>
            <w:r>
              <w:tab/>
            </w:r>
            <w:r w:rsidR="00BB080C">
              <w:t>управителите изготвят инвестиционна стратегия, критерии и график на инвестициите; установени са предварително финансовата жизнеспособност и очакваното въздействие върху градското развитие;</w:t>
            </w:r>
          </w:p>
          <w:p w:rsidR="00BB080C" w:rsidRPr="000C51C2" w:rsidRDefault="007C5437" w:rsidP="007C5437">
            <w:pPr>
              <w:autoSpaceDE w:val="0"/>
              <w:autoSpaceDN w:val="0"/>
              <w:adjustRightInd w:val="0"/>
              <w:ind w:left="714" w:hanging="357"/>
              <w:jc w:val="both"/>
            </w:pPr>
            <w:r>
              <w:t>д)</w:t>
            </w:r>
            <w:r>
              <w:tab/>
            </w:r>
            <w:r w:rsidR="00BB080C">
              <w:t>за всяка капиталова и квазикапиталова инвестиция е налице ясна и реалистична стратегия за излизане.</w:t>
            </w:r>
          </w:p>
          <w:p w:rsidR="00BB080C" w:rsidRPr="000C51C2" w:rsidRDefault="006250A2" w:rsidP="00B46C58">
            <w:pPr>
              <w:numPr>
                <w:ilvl w:val="0"/>
                <w:numId w:val="34"/>
              </w:numPr>
              <w:autoSpaceDE w:val="0"/>
              <w:autoSpaceDN w:val="0"/>
              <w:adjustRightInd w:val="0"/>
            </w:pPr>
            <w:r>
              <w:rPr>
                <w:b/>
              </w:rPr>
              <w:t>Фонд за градско развитие предоставя заеми или гаранции за проекти за градско развитие;</w:t>
            </w:r>
            <w:r>
              <w:t xml:space="preserve"> условия (параграф 10):</w:t>
            </w:r>
          </w:p>
          <w:p w:rsidR="00BB080C" w:rsidRPr="000C51C2" w:rsidRDefault="005C72C9" w:rsidP="005C72C9">
            <w:pPr>
              <w:autoSpaceDE w:val="0"/>
              <w:autoSpaceDN w:val="0"/>
              <w:adjustRightInd w:val="0"/>
              <w:ind w:left="714" w:hanging="357"/>
              <w:jc w:val="both"/>
            </w:pPr>
            <w:r>
              <w:t>а)</w:t>
            </w:r>
            <w:r>
              <w:tab/>
            </w:r>
            <w:r w:rsidR="00BB080C">
              <w:t xml:space="preserve">заеми: номиналният размер на заема, който се взема предвид при </w:t>
            </w:r>
            <w:r w:rsidR="00BB080C">
              <w:lastRenderedPageBreak/>
              <w:t>изчисляването на максималния размер на инвестицията, не надвишава 20 милиона евро, вж. параграф 3;</w:t>
            </w:r>
          </w:p>
          <w:p w:rsidR="00BB080C" w:rsidRPr="000C51C2" w:rsidRDefault="005C72C9" w:rsidP="005C72C9">
            <w:pPr>
              <w:autoSpaceDE w:val="0"/>
              <w:autoSpaceDN w:val="0"/>
              <w:adjustRightInd w:val="0"/>
              <w:ind w:left="714" w:hanging="357"/>
              <w:jc w:val="both"/>
            </w:pPr>
            <w:r>
              <w:t>б)</w:t>
            </w:r>
            <w:r>
              <w:tab/>
            </w:r>
            <w:r w:rsidR="00BB080C">
              <w:t>гаранции: номиналният размер на съответния заем, който се взема предвид при изчисляването на максималния размер на инвестицията, не надвишава 20 милиона евро, вж. параграф 3.</w:t>
            </w:r>
          </w:p>
          <w:p w:rsidR="00BB080C" w:rsidRPr="008243DE" w:rsidRDefault="00BB080C" w:rsidP="00B46C58">
            <w:pPr>
              <w:numPr>
                <w:ilvl w:val="0"/>
                <w:numId w:val="34"/>
              </w:numPr>
              <w:jc w:val="both"/>
              <w:rPr>
                <w:sz w:val="20"/>
                <w:szCs w:val="20"/>
              </w:rPr>
            </w:pPr>
            <w:r>
              <w:t>Държавата членка може да възложи изпълнението на мярката за градско развитие на упълномощен субект (параграф 11).</w:t>
            </w:r>
          </w:p>
        </w:tc>
        <w:tc>
          <w:tcPr>
            <w:tcW w:w="2379" w:type="pct"/>
            <w:shd w:val="clear" w:color="auto" w:fill="auto"/>
          </w:tcPr>
          <w:p w:rsidR="00BB080C" w:rsidRDefault="00BB080C" w:rsidP="003E00A3"/>
        </w:tc>
      </w:tr>
    </w:tbl>
    <w:p w:rsidR="00A67375" w:rsidRDefault="00A67375" w:rsidP="009F52DA"/>
    <w:sectPr w:rsidR="00A67375" w:rsidSect="004462F3">
      <w:headerReference w:type="even" r:id="rId9"/>
      <w:headerReference w:type="default" r:id="rId10"/>
      <w:footerReference w:type="even" r:id="rId11"/>
      <w:footerReference w:type="default" r:id="rId12"/>
      <w:headerReference w:type="first" r:id="rId13"/>
      <w:footerReference w:type="first" r:id="rId14"/>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3F" w:rsidRDefault="00301A3F">
      <w:r>
        <w:separator/>
      </w:r>
    </w:p>
  </w:endnote>
  <w:endnote w:type="continuationSeparator" w:id="0">
    <w:p w:rsidR="00301A3F" w:rsidRDefault="0030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rsidP="004462F3">
    <w:pPr>
      <w:pStyle w:val="Footer"/>
      <w:jc w:val="right"/>
    </w:pPr>
    <w:r>
      <w:fldChar w:fldCharType="begin"/>
    </w:r>
    <w:r>
      <w:instrText xml:space="preserve"> PAGE   \* MERGEFORMAT </w:instrText>
    </w:r>
    <w:r>
      <w:fldChar w:fldCharType="separate"/>
    </w:r>
    <w:r w:rsidR="00A67E39">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Pr="004462F3" w:rsidRDefault="004462F3">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3F" w:rsidRDefault="00301A3F">
      <w:r>
        <w:separator/>
      </w:r>
    </w:p>
  </w:footnote>
  <w:footnote w:type="continuationSeparator" w:id="0">
    <w:p w:rsidR="00301A3F" w:rsidRDefault="0030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7" w:rsidRDefault="005C0077" w:rsidP="005C0077">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5C0077" w:rsidRDefault="005C0077" w:rsidP="005C0077">
    <w:pPr>
      <w:autoSpaceDE w:val="0"/>
      <w:autoSpaceDN w:val="0"/>
      <w:ind w:right="-567"/>
      <w:jc w:val="both"/>
      <w:rPr>
        <w:b/>
        <w:bCs/>
        <w:noProof/>
        <w:snapToGrid w:val="0"/>
        <w:color w:val="000000"/>
        <w:u w:val="single"/>
      </w:rPr>
    </w:pPr>
  </w:p>
  <w:p w:rsidR="005C0077" w:rsidRDefault="005C0077" w:rsidP="005C0077">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8B71EA" w:rsidRDefault="008B7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3" w:rsidRDefault="004462F3" w:rsidP="004462F3">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4462F3" w:rsidRDefault="004462F3" w:rsidP="004462F3">
    <w:pPr>
      <w:autoSpaceDE w:val="0"/>
      <w:autoSpaceDN w:val="0"/>
      <w:ind w:right="-567"/>
      <w:jc w:val="both"/>
      <w:rPr>
        <w:b/>
        <w:bCs/>
        <w:noProof/>
        <w:snapToGrid w:val="0"/>
        <w:color w:val="000000"/>
        <w:u w:val="single"/>
      </w:rPr>
    </w:pPr>
  </w:p>
  <w:p w:rsidR="004462F3" w:rsidRDefault="004462F3" w:rsidP="004462F3">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4462F3" w:rsidRDefault="0044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65C6D"/>
    <w:multiLevelType w:val="hybridMultilevel"/>
    <w:tmpl w:val="16C87988"/>
    <w:lvl w:ilvl="0" w:tplc="061A6A34">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14B63"/>
    <w:multiLevelType w:val="hybridMultilevel"/>
    <w:tmpl w:val="A762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776B2"/>
    <w:multiLevelType w:val="hybridMultilevel"/>
    <w:tmpl w:val="A6ACAEB8"/>
    <w:lvl w:ilvl="0" w:tplc="2FE859E2">
      <w:start w:val="1"/>
      <w:numFmt w:val="lowerLetter"/>
      <w:lvlText w:val="(%1)"/>
      <w:lvlJc w:val="left"/>
      <w:pPr>
        <w:ind w:left="720" w:hanging="360"/>
      </w:pPr>
      <w:rPr>
        <w:rFonts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20B69"/>
    <w:multiLevelType w:val="hybridMultilevel"/>
    <w:tmpl w:val="CC8A660E"/>
    <w:lvl w:ilvl="0" w:tplc="4D34575A">
      <w:start w:val="1"/>
      <w:numFmt w:val="lowerRoman"/>
      <w:lvlText w:val="(%1)"/>
      <w:lvlJc w:val="left"/>
      <w:pPr>
        <w:tabs>
          <w:tab w:val="num" w:pos="720"/>
        </w:tabs>
        <w:ind w:left="720" w:hanging="36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37B0AB8"/>
    <w:multiLevelType w:val="hybridMultilevel"/>
    <w:tmpl w:val="B06CC218"/>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736DE"/>
    <w:multiLevelType w:val="hybridMultilevel"/>
    <w:tmpl w:val="80105274"/>
    <w:lvl w:ilvl="0" w:tplc="2FE859E2">
      <w:start w:val="1"/>
      <w:numFmt w:val="lowerLetter"/>
      <w:lvlText w:val="(%1)"/>
      <w:lvlJc w:val="left"/>
      <w:pPr>
        <w:tabs>
          <w:tab w:val="num" w:pos="360"/>
        </w:tabs>
        <w:ind w:left="360" w:hanging="360"/>
      </w:pPr>
      <w:rPr>
        <w:rFonts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8815EC"/>
    <w:multiLevelType w:val="hybridMultilevel"/>
    <w:tmpl w:val="6F50B3B8"/>
    <w:lvl w:ilvl="0" w:tplc="4D34575A">
      <w:start w:val="1"/>
      <w:numFmt w:val="lowerRoman"/>
      <w:lvlText w:val="(%1)"/>
      <w:lvlJc w:val="left"/>
      <w:pPr>
        <w:tabs>
          <w:tab w:val="num" w:pos="720"/>
        </w:tabs>
        <w:ind w:left="720" w:hanging="36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420C27"/>
    <w:multiLevelType w:val="hybridMultilevel"/>
    <w:tmpl w:val="E55471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F761CB"/>
    <w:multiLevelType w:val="hybridMultilevel"/>
    <w:tmpl w:val="CCD46D66"/>
    <w:lvl w:ilvl="0" w:tplc="061A6A3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C7C1109"/>
    <w:multiLevelType w:val="hybridMultilevel"/>
    <w:tmpl w:val="737E42E8"/>
    <w:lvl w:ilvl="0" w:tplc="2FE859E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D551820"/>
    <w:multiLevelType w:val="hybridMultilevel"/>
    <w:tmpl w:val="865E5A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39">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595A62"/>
    <w:multiLevelType w:val="hybridMultilevel"/>
    <w:tmpl w:val="3C98E178"/>
    <w:lvl w:ilvl="0" w:tplc="08090001">
      <w:start w:val="1"/>
      <w:numFmt w:val="bullet"/>
      <w:lvlText w:val=""/>
      <w:lvlJc w:val="left"/>
      <w:pPr>
        <w:tabs>
          <w:tab w:val="num" w:pos="360"/>
        </w:tabs>
        <w:ind w:left="360" w:hanging="360"/>
      </w:pPr>
      <w:rPr>
        <w:rFonts w:ascii="Symbol" w:hAnsi="Symbol" w:hint="default"/>
      </w:rPr>
    </w:lvl>
    <w:lvl w:ilvl="1" w:tplc="0ECCE3F2">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45">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62F04B9"/>
    <w:multiLevelType w:val="hybridMultilevel"/>
    <w:tmpl w:val="C18CAA50"/>
    <w:lvl w:ilvl="0" w:tplc="2FE859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58087186"/>
    <w:multiLevelType w:val="hybridMultilevel"/>
    <w:tmpl w:val="D7D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1">
    <w:nsid w:val="5D083B05"/>
    <w:multiLevelType w:val="hybridMultilevel"/>
    <w:tmpl w:val="D3CCEE64"/>
    <w:lvl w:ilvl="0" w:tplc="0ECCE3F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5F7B4427"/>
    <w:multiLevelType w:val="hybridMultilevel"/>
    <w:tmpl w:val="A36ACCB4"/>
    <w:lvl w:ilvl="0" w:tplc="2FE859E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3B569EC"/>
    <w:multiLevelType w:val="hybridMultilevel"/>
    <w:tmpl w:val="68E2FD2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49045F1"/>
    <w:multiLevelType w:val="hybridMultilevel"/>
    <w:tmpl w:val="C89A68C0"/>
    <w:lvl w:ilvl="0" w:tplc="0ECCE3F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52E53CB"/>
    <w:multiLevelType w:val="hybridMultilevel"/>
    <w:tmpl w:val="B55C330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5FD55A2"/>
    <w:multiLevelType w:val="hybridMultilevel"/>
    <w:tmpl w:val="C85E5622"/>
    <w:lvl w:ilvl="0" w:tplc="2FE859E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7783541"/>
    <w:multiLevelType w:val="hybridMultilevel"/>
    <w:tmpl w:val="6680A184"/>
    <w:lvl w:ilvl="0" w:tplc="061A6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9F064B4"/>
    <w:multiLevelType w:val="hybridMultilevel"/>
    <w:tmpl w:val="9C668D26"/>
    <w:lvl w:ilvl="0" w:tplc="061A6A34">
      <w:start w:val="1"/>
      <w:numFmt w:val="lowerLetter"/>
      <w:lvlText w:val="%1)"/>
      <w:lvlJc w:val="left"/>
      <w:pPr>
        <w:tabs>
          <w:tab w:val="num" w:pos="675"/>
        </w:tabs>
        <w:ind w:left="675" w:hanging="360"/>
      </w:pPr>
      <w:rPr>
        <w:rFont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2115"/>
        </w:tabs>
        <w:ind w:left="2115" w:hanging="360"/>
      </w:pPr>
      <w:rPr>
        <w:rFonts w:ascii="Wingdings" w:hAnsi="Wingdings" w:hint="default"/>
      </w:rPr>
    </w:lvl>
    <w:lvl w:ilvl="3" w:tplc="08090001" w:tentative="1">
      <w:start w:val="1"/>
      <w:numFmt w:val="bullet"/>
      <w:lvlText w:val=""/>
      <w:lvlJc w:val="left"/>
      <w:pPr>
        <w:tabs>
          <w:tab w:val="num" w:pos="2835"/>
        </w:tabs>
        <w:ind w:left="2835" w:hanging="360"/>
      </w:pPr>
      <w:rPr>
        <w:rFonts w:ascii="Symbol" w:hAnsi="Symbol" w:hint="default"/>
      </w:rPr>
    </w:lvl>
    <w:lvl w:ilvl="4" w:tplc="08090003" w:tentative="1">
      <w:start w:val="1"/>
      <w:numFmt w:val="bullet"/>
      <w:lvlText w:val="o"/>
      <w:lvlJc w:val="left"/>
      <w:pPr>
        <w:tabs>
          <w:tab w:val="num" w:pos="3555"/>
        </w:tabs>
        <w:ind w:left="3555" w:hanging="360"/>
      </w:pPr>
      <w:rPr>
        <w:rFonts w:ascii="Courier New" w:hAnsi="Courier New" w:cs="Courier New" w:hint="default"/>
      </w:rPr>
    </w:lvl>
    <w:lvl w:ilvl="5" w:tplc="08090005" w:tentative="1">
      <w:start w:val="1"/>
      <w:numFmt w:val="bullet"/>
      <w:lvlText w:val=""/>
      <w:lvlJc w:val="left"/>
      <w:pPr>
        <w:tabs>
          <w:tab w:val="num" w:pos="4275"/>
        </w:tabs>
        <w:ind w:left="4275" w:hanging="360"/>
      </w:pPr>
      <w:rPr>
        <w:rFonts w:ascii="Wingdings" w:hAnsi="Wingdings" w:hint="default"/>
      </w:rPr>
    </w:lvl>
    <w:lvl w:ilvl="6" w:tplc="08090001" w:tentative="1">
      <w:start w:val="1"/>
      <w:numFmt w:val="bullet"/>
      <w:lvlText w:val=""/>
      <w:lvlJc w:val="left"/>
      <w:pPr>
        <w:tabs>
          <w:tab w:val="num" w:pos="4995"/>
        </w:tabs>
        <w:ind w:left="4995" w:hanging="360"/>
      </w:pPr>
      <w:rPr>
        <w:rFonts w:ascii="Symbol" w:hAnsi="Symbol" w:hint="default"/>
      </w:rPr>
    </w:lvl>
    <w:lvl w:ilvl="7" w:tplc="08090003" w:tentative="1">
      <w:start w:val="1"/>
      <w:numFmt w:val="bullet"/>
      <w:lvlText w:val="o"/>
      <w:lvlJc w:val="left"/>
      <w:pPr>
        <w:tabs>
          <w:tab w:val="num" w:pos="5715"/>
        </w:tabs>
        <w:ind w:left="5715" w:hanging="360"/>
      </w:pPr>
      <w:rPr>
        <w:rFonts w:ascii="Courier New" w:hAnsi="Courier New" w:cs="Courier New" w:hint="default"/>
      </w:rPr>
    </w:lvl>
    <w:lvl w:ilvl="8" w:tplc="08090005" w:tentative="1">
      <w:start w:val="1"/>
      <w:numFmt w:val="bullet"/>
      <w:lvlText w:val=""/>
      <w:lvlJc w:val="left"/>
      <w:pPr>
        <w:tabs>
          <w:tab w:val="num" w:pos="6435"/>
        </w:tabs>
        <w:ind w:left="6435" w:hanging="360"/>
      </w:pPr>
      <w:rPr>
        <w:rFonts w:ascii="Wingdings" w:hAnsi="Wingdings" w:hint="default"/>
      </w:rPr>
    </w:lvl>
  </w:abstractNum>
  <w:abstractNum w:abstractNumId="64">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nsid w:val="6B3220B7"/>
    <w:multiLevelType w:val="hybridMultilevel"/>
    <w:tmpl w:val="8E46B87C"/>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6A2084"/>
    <w:multiLevelType w:val="hybridMultilevel"/>
    <w:tmpl w:val="2738D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F6C58B8"/>
    <w:multiLevelType w:val="multilevel"/>
    <w:tmpl w:val="26945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13C4A50"/>
    <w:multiLevelType w:val="hybridMultilevel"/>
    <w:tmpl w:val="398E6D24"/>
    <w:lvl w:ilvl="0" w:tplc="2FE859E2">
      <w:start w:val="1"/>
      <w:numFmt w:val="lowerLetter"/>
      <w:lvlText w:val="(%1)"/>
      <w:lvlJc w:val="left"/>
      <w:pPr>
        <w:ind w:left="720" w:hanging="360"/>
      </w:pPr>
      <w:rPr>
        <w:rFonts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C005761"/>
    <w:multiLevelType w:val="hybridMultilevel"/>
    <w:tmpl w:val="E0EEC7AC"/>
    <w:lvl w:ilvl="0" w:tplc="2FE859E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F8C7E8A"/>
    <w:multiLevelType w:val="hybridMultilevel"/>
    <w:tmpl w:val="907A0290"/>
    <w:lvl w:ilvl="0" w:tplc="0ECCE3F2">
      <w:start w:val="1"/>
      <w:numFmt w:val="bullet"/>
      <w:lvlText w:val="-"/>
      <w:lvlJc w:val="left"/>
      <w:pPr>
        <w:ind w:left="720" w:hanging="360"/>
      </w:pPr>
      <w:rPr>
        <w:rFonts w:ascii="Courier New" w:hAnsi="Courier New" w:hint="default"/>
      </w:r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34"/>
  </w:num>
  <w:num w:numId="3">
    <w:abstractNumId w:val="21"/>
  </w:num>
  <w:num w:numId="4">
    <w:abstractNumId w:val="52"/>
  </w:num>
  <w:num w:numId="5">
    <w:abstractNumId w:val="10"/>
  </w:num>
  <w:num w:numId="6">
    <w:abstractNumId w:val="54"/>
  </w:num>
  <w:num w:numId="7">
    <w:abstractNumId w:val="0"/>
  </w:num>
  <w:num w:numId="8">
    <w:abstractNumId w:val="30"/>
  </w:num>
  <w:num w:numId="9">
    <w:abstractNumId w:val="5"/>
  </w:num>
  <w:num w:numId="10">
    <w:abstractNumId w:val="47"/>
  </w:num>
  <w:num w:numId="11">
    <w:abstractNumId w:val="9"/>
  </w:num>
  <w:num w:numId="12">
    <w:abstractNumId w:val="22"/>
  </w:num>
  <w:num w:numId="13">
    <w:abstractNumId w:val="15"/>
  </w:num>
  <w:num w:numId="14">
    <w:abstractNumId w:val="17"/>
  </w:num>
  <w:num w:numId="15">
    <w:abstractNumId w:val="56"/>
  </w:num>
  <w:num w:numId="16">
    <w:abstractNumId w:val="27"/>
  </w:num>
  <w:num w:numId="17">
    <w:abstractNumId w:val="13"/>
  </w:num>
  <w:num w:numId="18">
    <w:abstractNumId w:val="43"/>
  </w:num>
  <w:num w:numId="19">
    <w:abstractNumId w:val="12"/>
  </w:num>
  <w:num w:numId="20">
    <w:abstractNumId w:val="2"/>
  </w:num>
  <w:num w:numId="21">
    <w:abstractNumId w:val="50"/>
  </w:num>
  <w:num w:numId="22">
    <w:abstractNumId w:val="18"/>
  </w:num>
  <w:num w:numId="23">
    <w:abstractNumId w:val="26"/>
  </w:num>
  <w:num w:numId="24">
    <w:abstractNumId w:val="37"/>
  </w:num>
  <w:num w:numId="25">
    <w:abstractNumId w:val="48"/>
  </w:num>
  <w:num w:numId="26">
    <w:abstractNumId w:val="55"/>
  </w:num>
  <w:num w:numId="27">
    <w:abstractNumId w:val="31"/>
  </w:num>
  <w:num w:numId="28">
    <w:abstractNumId w:val="3"/>
  </w:num>
  <w:num w:numId="29">
    <w:abstractNumId w:val="49"/>
  </w:num>
  <w:num w:numId="30">
    <w:abstractNumId w:val="14"/>
  </w:num>
  <w:num w:numId="31">
    <w:abstractNumId w:val="20"/>
  </w:num>
  <w:num w:numId="32">
    <w:abstractNumId w:val="44"/>
  </w:num>
  <w:num w:numId="33">
    <w:abstractNumId w:val="58"/>
  </w:num>
  <w:num w:numId="34">
    <w:abstractNumId w:val="40"/>
  </w:num>
  <w:num w:numId="35">
    <w:abstractNumId w:val="70"/>
  </w:num>
  <w:num w:numId="36">
    <w:abstractNumId w:val="28"/>
  </w:num>
  <w:num w:numId="37">
    <w:abstractNumId w:val="19"/>
  </w:num>
  <w:num w:numId="38">
    <w:abstractNumId w:val="45"/>
  </w:num>
  <w:num w:numId="39">
    <w:abstractNumId w:val="29"/>
  </w:num>
  <w:num w:numId="40">
    <w:abstractNumId w:val="64"/>
  </w:num>
  <w:num w:numId="41">
    <w:abstractNumId w:val="41"/>
  </w:num>
  <w:num w:numId="42">
    <w:abstractNumId w:val="16"/>
  </w:num>
  <w:num w:numId="43">
    <w:abstractNumId w:val="23"/>
  </w:num>
  <w:num w:numId="44">
    <w:abstractNumId w:val="4"/>
  </w:num>
  <w:num w:numId="45">
    <w:abstractNumId w:val="38"/>
  </w:num>
  <w:num w:numId="46">
    <w:abstractNumId w:val="33"/>
  </w:num>
  <w:num w:numId="47">
    <w:abstractNumId w:val="69"/>
  </w:num>
  <w:num w:numId="48">
    <w:abstractNumId w:val="66"/>
  </w:num>
  <w:num w:numId="49">
    <w:abstractNumId w:val="67"/>
  </w:num>
  <w:num w:numId="50">
    <w:abstractNumId w:val="36"/>
  </w:num>
  <w:num w:numId="51">
    <w:abstractNumId w:val="1"/>
  </w:num>
  <w:num w:numId="52">
    <w:abstractNumId w:val="32"/>
  </w:num>
  <w:num w:numId="53">
    <w:abstractNumId w:val="62"/>
  </w:num>
  <w:num w:numId="54">
    <w:abstractNumId w:val="61"/>
  </w:num>
  <w:num w:numId="55">
    <w:abstractNumId w:val="53"/>
  </w:num>
  <w:num w:numId="56">
    <w:abstractNumId w:val="35"/>
  </w:num>
  <w:num w:numId="57">
    <w:abstractNumId w:val="71"/>
  </w:num>
  <w:num w:numId="58">
    <w:abstractNumId w:val="72"/>
  </w:num>
  <w:num w:numId="59">
    <w:abstractNumId w:val="59"/>
  </w:num>
  <w:num w:numId="60">
    <w:abstractNumId w:val="57"/>
  </w:num>
  <w:num w:numId="61">
    <w:abstractNumId w:val="51"/>
  </w:num>
  <w:num w:numId="62">
    <w:abstractNumId w:val="11"/>
  </w:num>
  <w:num w:numId="63">
    <w:abstractNumId w:val="65"/>
  </w:num>
  <w:num w:numId="64">
    <w:abstractNumId w:val="42"/>
  </w:num>
  <w:num w:numId="65">
    <w:abstractNumId w:val="60"/>
  </w:num>
  <w:num w:numId="66">
    <w:abstractNumId w:val="24"/>
  </w:num>
  <w:num w:numId="67">
    <w:abstractNumId w:val="7"/>
  </w:num>
  <w:num w:numId="68">
    <w:abstractNumId w:val="46"/>
  </w:num>
  <w:num w:numId="69">
    <w:abstractNumId w:val="68"/>
  </w:num>
  <w:num w:numId="70">
    <w:abstractNumId w:val="6"/>
  </w:num>
  <w:num w:numId="71">
    <w:abstractNumId w:val="39"/>
  </w:num>
  <w:num w:numId="72">
    <w:abstractNumId w:val="8"/>
  </w:num>
  <w:num w:numId="73">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116D1"/>
    <w:rsid w:val="000307FC"/>
    <w:rsid w:val="000372A4"/>
    <w:rsid w:val="0004275D"/>
    <w:rsid w:val="00045763"/>
    <w:rsid w:val="00045C91"/>
    <w:rsid w:val="00047DB1"/>
    <w:rsid w:val="000550A4"/>
    <w:rsid w:val="00066155"/>
    <w:rsid w:val="000729AA"/>
    <w:rsid w:val="0007495E"/>
    <w:rsid w:val="00085359"/>
    <w:rsid w:val="000934FB"/>
    <w:rsid w:val="0009698A"/>
    <w:rsid w:val="000969AA"/>
    <w:rsid w:val="0009762A"/>
    <w:rsid w:val="000A0383"/>
    <w:rsid w:val="000A19E8"/>
    <w:rsid w:val="000A2636"/>
    <w:rsid w:val="000B0C62"/>
    <w:rsid w:val="000C38DE"/>
    <w:rsid w:val="000C51C2"/>
    <w:rsid w:val="000C5680"/>
    <w:rsid w:val="000D3B2D"/>
    <w:rsid w:val="000D3DFE"/>
    <w:rsid w:val="000E10AB"/>
    <w:rsid w:val="000E4DAE"/>
    <w:rsid w:val="000F1FCD"/>
    <w:rsid w:val="000F2C08"/>
    <w:rsid w:val="000F75EF"/>
    <w:rsid w:val="00101AC3"/>
    <w:rsid w:val="0012665D"/>
    <w:rsid w:val="0013556A"/>
    <w:rsid w:val="00165C30"/>
    <w:rsid w:val="00176DBE"/>
    <w:rsid w:val="0018067D"/>
    <w:rsid w:val="00180EAA"/>
    <w:rsid w:val="001910C8"/>
    <w:rsid w:val="001A6EB8"/>
    <w:rsid w:val="001A78F8"/>
    <w:rsid w:val="001B05F1"/>
    <w:rsid w:val="001C0C3A"/>
    <w:rsid w:val="001D0FD1"/>
    <w:rsid w:val="001F48D0"/>
    <w:rsid w:val="00205AC3"/>
    <w:rsid w:val="0020708C"/>
    <w:rsid w:val="00221B84"/>
    <w:rsid w:val="00222F1C"/>
    <w:rsid w:val="002307F0"/>
    <w:rsid w:val="00231553"/>
    <w:rsid w:val="002427AF"/>
    <w:rsid w:val="002470A3"/>
    <w:rsid w:val="00255D0C"/>
    <w:rsid w:val="0025789A"/>
    <w:rsid w:val="00275069"/>
    <w:rsid w:val="002779BE"/>
    <w:rsid w:val="00291068"/>
    <w:rsid w:val="002920BD"/>
    <w:rsid w:val="00293736"/>
    <w:rsid w:val="002B3E57"/>
    <w:rsid w:val="002B4358"/>
    <w:rsid w:val="002B4CA9"/>
    <w:rsid w:val="002B54DF"/>
    <w:rsid w:val="002B7D7E"/>
    <w:rsid w:val="002C1D40"/>
    <w:rsid w:val="002C323D"/>
    <w:rsid w:val="002D4CC4"/>
    <w:rsid w:val="002E180B"/>
    <w:rsid w:val="002E3BB9"/>
    <w:rsid w:val="002F4921"/>
    <w:rsid w:val="00301A3F"/>
    <w:rsid w:val="00307511"/>
    <w:rsid w:val="00311BDC"/>
    <w:rsid w:val="00321646"/>
    <w:rsid w:val="00335128"/>
    <w:rsid w:val="00336EAF"/>
    <w:rsid w:val="00337965"/>
    <w:rsid w:val="00356870"/>
    <w:rsid w:val="00370E1E"/>
    <w:rsid w:val="0037514B"/>
    <w:rsid w:val="0037615F"/>
    <w:rsid w:val="00387160"/>
    <w:rsid w:val="00397EC8"/>
    <w:rsid w:val="003A1CEE"/>
    <w:rsid w:val="003A34CB"/>
    <w:rsid w:val="003A70AE"/>
    <w:rsid w:val="003B745C"/>
    <w:rsid w:val="003D41BA"/>
    <w:rsid w:val="003E0049"/>
    <w:rsid w:val="003E00A3"/>
    <w:rsid w:val="003E4E9D"/>
    <w:rsid w:val="003F4EC4"/>
    <w:rsid w:val="003F7596"/>
    <w:rsid w:val="00400566"/>
    <w:rsid w:val="00407807"/>
    <w:rsid w:val="00420FE3"/>
    <w:rsid w:val="00421231"/>
    <w:rsid w:val="0042377F"/>
    <w:rsid w:val="00424808"/>
    <w:rsid w:val="004412F5"/>
    <w:rsid w:val="004452B6"/>
    <w:rsid w:val="004462F3"/>
    <w:rsid w:val="0045170D"/>
    <w:rsid w:val="004618BB"/>
    <w:rsid w:val="00461A7C"/>
    <w:rsid w:val="00462813"/>
    <w:rsid w:val="004745B1"/>
    <w:rsid w:val="00481FD8"/>
    <w:rsid w:val="004B7EF7"/>
    <w:rsid w:val="004D0D76"/>
    <w:rsid w:val="004D5832"/>
    <w:rsid w:val="004D7EF3"/>
    <w:rsid w:val="004F201B"/>
    <w:rsid w:val="004F6330"/>
    <w:rsid w:val="004F7C3E"/>
    <w:rsid w:val="00502676"/>
    <w:rsid w:val="00513516"/>
    <w:rsid w:val="00531692"/>
    <w:rsid w:val="00534552"/>
    <w:rsid w:val="005442C1"/>
    <w:rsid w:val="00554D95"/>
    <w:rsid w:val="00557283"/>
    <w:rsid w:val="00562D41"/>
    <w:rsid w:val="00571298"/>
    <w:rsid w:val="005875CA"/>
    <w:rsid w:val="00593387"/>
    <w:rsid w:val="005B598E"/>
    <w:rsid w:val="005B780B"/>
    <w:rsid w:val="005C0077"/>
    <w:rsid w:val="005C72C9"/>
    <w:rsid w:val="005E23C6"/>
    <w:rsid w:val="005E7699"/>
    <w:rsid w:val="005F14EC"/>
    <w:rsid w:val="0061207C"/>
    <w:rsid w:val="0061345C"/>
    <w:rsid w:val="006149DC"/>
    <w:rsid w:val="006155AB"/>
    <w:rsid w:val="00615880"/>
    <w:rsid w:val="00620255"/>
    <w:rsid w:val="00624BDF"/>
    <w:rsid w:val="006250A2"/>
    <w:rsid w:val="00626599"/>
    <w:rsid w:val="0063569E"/>
    <w:rsid w:val="00654CC5"/>
    <w:rsid w:val="00660ED7"/>
    <w:rsid w:val="00663D78"/>
    <w:rsid w:val="0066573A"/>
    <w:rsid w:val="0067010A"/>
    <w:rsid w:val="00674F49"/>
    <w:rsid w:val="00681921"/>
    <w:rsid w:val="00682CD5"/>
    <w:rsid w:val="006A58CF"/>
    <w:rsid w:val="006A7039"/>
    <w:rsid w:val="006B5336"/>
    <w:rsid w:val="006B700A"/>
    <w:rsid w:val="006C6F39"/>
    <w:rsid w:val="006D137E"/>
    <w:rsid w:val="006D2A3F"/>
    <w:rsid w:val="006D612B"/>
    <w:rsid w:val="006E1F72"/>
    <w:rsid w:val="0070535F"/>
    <w:rsid w:val="00723B58"/>
    <w:rsid w:val="007405A0"/>
    <w:rsid w:val="00741AD6"/>
    <w:rsid w:val="00750A7B"/>
    <w:rsid w:val="00761D21"/>
    <w:rsid w:val="0076242B"/>
    <w:rsid w:val="007660AB"/>
    <w:rsid w:val="00772B86"/>
    <w:rsid w:val="00773F1E"/>
    <w:rsid w:val="00782E44"/>
    <w:rsid w:val="00783CA1"/>
    <w:rsid w:val="0079018B"/>
    <w:rsid w:val="00793D63"/>
    <w:rsid w:val="007A2C05"/>
    <w:rsid w:val="007B0B68"/>
    <w:rsid w:val="007B4054"/>
    <w:rsid w:val="007B6E14"/>
    <w:rsid w:val="007C4733"/>
    <w:rsid w:val="007C5437"/>
    <w:rsid w:val="007D461F"/>
    <w:rsid w:val="007D6D47"/>
    <w:rsid w:val="007E0908"/>
    <w:rsid w:val="007E1A2F"/>
    <w:rsid w:val="007E2284"/>
    <w:rsid w:val="007E28AE"/>
    <w:rsid w:val="007F572A"/>
    <w:rsid w:val="00801247"/>
    <w:rsid w:val="008314BB"/>
    <w:rsid w:val="00832DAB"/>
    <w:rsid w:val="0083439D"/>
    <w:rsid w:val="008476F4"/>
    <w:rsid w:val="00852C3B"/>
    <w:rsid w:val="00856814"/>
    <w:rsid w:val="00867005"/>
    <w:rsid w:val="00875A7C"/>
    <w:rsid w:val="00883DFF"/>
    <w:rsid w:val="00885BB0"/>
    <w:rsid w:val="00895393"/>
    <w:rsid w:val="008A3AC1"/>
    <w:rsid w:val="008A3D6A"/>
    <w:rsid w:val="008B33CE"/>
    <w:rsid w:val="008B71EA"/>
    <w:rsid w:val="008C0F0E"/>
    <w:rsid w:val="008C1495"/>
    <w:rsid w:val="008C5BB2"/>
    <w:rsid w:val="008D3D7C"/>
    <w:rsid w:val="008F28E4"/>
    <w:rsid w:val="008F31DD"/>
    <w:rsid w:val="008F3609"/>
    <w:rsid w:val="008F7532"/>
    <w:rsid w:val="00917062"/>
    <w:rsid w:val="00920585"/>
    <w:rsid w:val="0092466F"/>
    <w:rsid w:val="00927E93"/>
    <w:rsid w:val="00931208"/>
    <w:rsid w:val="00935945"/>
    <w:rsid w:val="0093761D"/>
    <w:rsid w:val="00947544"/>
    <w:rsid w:val="0095164F"/>
    <w:rsid w:val="0095335C"/>
    <w:rsid w:val="00960792"/>
    <w:rsid w:val="00971195"/>
    <w:rsid w:val="00973747"/>
    <w:rsid w:val="00977A9A"/>
    <w:rsid w:val="00980103"/>
    <w:rsid w:val="00981AB9"/>
    <w:rsid w:val="00986F2B"/>
    <w:rsid w:val="00991733"/>
    <w:rsid w:val="00994B7C"/>
    <w:rsid w:val="00995704"/>
    <w:rsid w:val="00995DBB"/>
    <w:rsid w:val="009B0CDD"/>
    <w:rsid w:val="009C13FD"/>
    <w:rsid w:val="009D4F26"/>
    <w:rsid w:val="009E14D9"/>
    <w:rsid w:val="009E27EC"/>
    <w:rsid w:val="009F0902"/>
    <w:rsid w:val="009F52DA"/>
    <w:rsid w:val="009F530E"/>
    <w:rsid w:val="009F73FF"/>
    <w:rsid w:val="00A21C2F"/>
    <w:rsid w:val="00A2428C"/>
    <w:rsid w:val="00A24976"/>
    <w:rsid w:val="00A404CF"/>
    <w:rsid w:val="00A415C5"/>
    <w:rsid w:val="00A432F4"/>
    <w:rsid w:val="00A43E85"/>
    <w:rsid w:val="00A46329"/>
    <w:rsid w:val="00A46614"/>
    <w:rsid w:val="00A57B85"/>
    <w:rsid w:val="00A6604D"/>
    <w:rsid w:val="00A67375"/>
    <w:rsid w:val="00A67E39"/>
    <w:rsid w:val="00A8428A"/>
    <w:rsid w:val="00A96B23"/>
    <w:rsid w:val="00AA37CE"/>
    <w:rsid w:val="00AA60FC"/>
    <w:rsid w:val="00AA6116"/>
    <w:rsid w:val="00AA779E"/>
    <w:rsid w:val="00AB1D4E"/>
    <w:rsid w:val="00AB57BD"/>
    <w:rsid w:val="00AB6771"/>
    <w:rsid w:val="00AB7FD4"/>
    <w:rsid w:val="00AC1C17"/>
    <w:rsid w:val="00AC39C3"/>
    <w:rsid w:val="00AC4476"/>
    <w:rsid w:val="00AD2B50"/>
    <w:rsid w:val="00AE1488"/>
    <w:rsid w:val="00AE56FC"/>
    <w:rsid w:val="00AE5F0D"/>
    <w:rsid w:val="00AE7DE8"/>
    <w:rsid w:val="00B106C8"/>
    <w:rsid w:val="00B4159B"/>
    <w:rsid w:val="00B45E42"/>
    <w:rsid w:val="00B46C58"/>
    <w:rsid w:val="00B55BDD"/>
    <w:rsid w:val="00B70C80"/>
    <w:rsid w:val="00B82243"/>
    <w:rsid w:val="00B87F87"/>
    <w:rsid w:val="00B94558"/>
    <w:rsid w:val="00BA710B"/>
    <w:rsid w:val="00BB06AE"/>
    <w:rsid w:val="00BB080C"/>
    <w:rsid w:val="00BB2CA7"/>
    <w:rsid w:val="00BC780C"/>
    <w:rsid w:val="00BD3F80"/>
    <w:rsid w:val="00BE0F35"/>
    <w:rsid w:val="00BE13EB"/>
    <w:rsid w:val="00BF4423"/>
    <w:rsid w:val="00BF4C99"/>
    <w:rsid w:val="00C032F5"/>
    <w:rsid w:val="00C12FD6"/>
    <w:rsid w:val="00C146A4"/>
    <w:rsid w:val="00C371A5"/>
    <w:rsid w:val="00C400E7"/>
    <w:rsid w:val="00C4593E"/>
    <w:rsid w:val="00C5368A"/>
    <w:rsid w:val="00C615C4"/>
    <w:rsid w:val="00C62BFC"/>
    <w:rsid w:val="00C64EBE"/>
    <w:rsid w:val="00C66B18"/>
    <w:rsid w:val="00C71B8F"/>
    <w:rsid w:val="00C90B65"/>
    <w:rsid w:val="00C928A0"/>
    <w:rsid w:val="00C93DBE"/>
    <w:rsid w:val="00CA2F50"/>
    <w:rsid w:val="00CB12B9"/>
    <w:rsid w:val="00CB55F1"/>
    <w:rsid w:val="00CB69C5"/>
    <w:rsid w:val="00CD5054"/>
    <w:rsid w:val="00CE18A8"/>
    <w:rsid w:val="00CE25D0"/>
    <w:rsid w:val="00CE58B8"/>
    <w:rsid w:val="00CE73F7"/>
    <w:rsid w:val="00D177B0"/>
    <w:rsid w:val="00D30804"/>
    <w:rsid w:val="00D324A5"/>
    <w:rsid w:val="00D3640F"/>
    <w:rsid w:val="00D40C63"/>
    <w:rsid w:val="00D42B4C"/>
    <w:rsid w:val="00D432C8"/>
    <w:rsid w:val="00D435B4"/>
    <w:rsid w:val="00D44F34"/>
    <w:rsid w:val="00D51612"/>
    <w:rsid w:val="00D53F45"/>
    <w:rsid w:val="00D55F5A"/>
    <w:rsid w:val="00D57C5A"/>
    <w:rsid w:val="00D64EFF"/>
    <w:rsid w:val="00D77616"/>
    <w:rsid w:val="00D807E0"/>
    <w:rsid w:val="00D92430"/>
    <w:rsid w:val="00D95CEB"/>
    <w:rsid w:val="00DB18F6"/>
    <w:rsid w:val="00DB569B"/>
    <w:rsid w:val="00DC3BDB"/>
    <w:rsid w:val="00DD24CA"/>
    <w:rsid w:val="00DD52F8"/>
    <w:rsid w:val="00DD57E1"/>
    <w:rsid w:val="00DE1EEC"/>
    <w:rsid w:val="00DE45E7"/>
    <w:rsid w:val="00DE6449"/>
    <w:rsid w:val="00DE6687"/>
    <w:rsid w:val="00DE7770"/>
    <w:rsid w:val="00E002A5"/>
    <w:rsid w:val="00E158B2"/>
    <w:rsid w:val="00E25E2E"/>
    <w:rsid w:val="00E351CB"/>
    <w:rsid w:val="00E37A77"/>
    <w:rsid w:val="00E57D5E"/>
    <w:rsid w:val="00E60B67"/>
    <w:rsid w:val="00E649EB"/>
    <w:rsid w:val="00E71C38"/>
    <w:rsid w:val="00E9375A"/>
    <w:rsid w:val="00EA0570"/>
    <w:rsid w:val="00EA5920"/>
    <w:rsid w:val="00EA594D"/>
    <w:rsid w:val="00EA7B22"/>
    <w:rsid w:val="00EC3C1E"/>
    <w:rsid w:val="00ED5B7F"/>
    <w:rsid w:val="00EE12F9"/>
    <w:rsid w:val="00EE4443"/>
    <w:rsid w:val="00EF14CC"/>
    <w:rsid w:val="00EF2B54"/>
    <w:rsid w:val="00EF4AEC"/>
    <w:rsid w:val="00EF7825"/>
    <w:rsid w:val="00F0671F"/>
    <w:rsid w:val="00F1470E"/>
    <w:rsid w:val="00F177AC"/>
    <w:rsid w:val="00F24F5B"/>
    <w:rsid w:val="00F26421"/>
    <w:rsid w:val="00F27FDA"/>
    <w:rsid w:val="00F35FBA"/>
    <w:rsid w:val="00F50360"/>
    <w:rsid w:val="00F6027A"/>
    <w:rsid w:val="00F83023"/>
    <w:rsid w:val="00F851C2"/>
    <w:rsid w:val="00F856AA"/>
    <w:rsid w:val="00FA329D"/>
    <w:rsid w:val="00FB1D1F"/>
    <w:rsid w:val="00FB4961"/>
    <w:rsid w:val="00FB562F"/>
    <w:rsid w:val="00FB618F"/>
    <w:rsid w:val="00FC0E5C"/>
    <w:rsid w:val="00FC2D31"/>
    <w:rsid w:val="00FC42D8"/>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B71EA"/>
    <w:pPr>
      <w:tabs>
        <w:tab w:val="center" w:pos="4536"/>
        <w:tab w:val="right" w:pos="9072"/>
      </w:tabs>
    </w:pPr>
  </w:style>
  <w:style w:type="character" w:customStyle="1" w:styleId="HeaderChar">
    <w:name w:val="Header Char"/>
    <w:link w:val="Header"/>
    <w:uiPriority w:val="99"/>
    <w:rsid w:val="008B71EA"/>
    <w:rPr>
      <w:sz w:val="24"/>
      <w:szCs w:val="24"/>
      <w:lang w:eastAsia="bg-BG"/>
    </w:rPr>
  </w:style>
  <w:style w:type="paragraph" w:styleId="Footer">
    <w:name w:val="footer"/>
    <w:basedOn w:val="Normal"/>
    <w:link w:val="FooterChar"/>
    <w:uiPriority w:val="99"/>
    <w:rsid w:val="008B71EA"/>
    <w:pPr>
      <w:tabs>
        <w:tab w:val="center" w:pos="4536"/>
        <w:tab w:val="right" w:pos="9072"/>
      </w:tabs>
    </w:pPr>
  </w:style>
  <w:style w:type="character" w:customStyle="1" w:styleId="FooterChar">
    <w:name w:val="Footer Char"/>
    <w:link w:val="Footer"/>
    <w:uiPriority w:val="99"/>
    <w:rsid w:val="008B71EA"/>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8B71EA"/>
    <w:pPr>
      <w:tabs>
        <w:tab w:val="center" w:pos="4536"/>
        <w:tab w:val="right" w:pos="9072"/>
      </w:tabs>
    </w:pPr>
  </w:style>
  <w:style w:type="character" w:customStyle="1" w:styleId="HeaderChar">
    <w:name w:val="Header Char"/>
    <w:link w:val="Header"/>
    <w:uiPriority w:val="99"/>
    <w:rsid w:val="008B71EA"/>
    <w:rPr>
      <w:sz w:val="24"/>
      <w:szCs w:val="24"/>
      <w:lang w:eastAsia="bg-BG"/>
    </w:rPr>
  </w:style>
  <w:style w:type="paragraph" w:styleId="Footer">
    <w:name w:val="footer"/>
    <w:basedOn w:val="Normal"/>
    <w:link w:val="FooterChar"/>
    <w:uiPriority w:val="99"/>
    <w:rsid w:val="008B71EA"/>
    <w:pPr>
      <w:tabs>
        <w:tab w:val="center" w:pos="4536"/>
        <w:tab w:val="right" w:pos="9072"/>
      </w:tabs>
    </w:pPr>
  </w:style>
  <w:style w:type="character" w:customStyle="1" w:styleId="FooterChar">
    <w:name w:val="Footer Char"/>
    <w:link w:val="Footer"/>
    <w:uiPriority w:val="99"/>
    <w:rsid w:val="008B71EA"/>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12900">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1002">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FC09-1C6E-416D-8EEC-295B11AC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2015-03-09T11:12:00Z</cp:lastPrinted>
  <dcterms:created xsi:type="dcterms:W3CDTF">2016-04-05T12:29:00Z</dcterms:created>
  <dcterms:modified xsi:type="dcterms:W3CDTF">2016-04-05T12:29:00Z</dcterms:modified>
</cp:coreProperties>
</file>